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PE.2010.0503 vom 10. Dezember 2010</w:t>
      </w:r>
    </w:p>
    <w:p>
      <w:r>
        <w:t>VD Tribunal cantonal, 2010-12-10, FR</w:t>
      </w:r>
    </w:p>
    <w:p>
      <w:r>
        <w:rPr>
          <w:b/>
        </w:rPr>
        <w:t xml:space="preserve">Quelle: </w:t>
      </w:r>
      <w:r>
        <w:t>https://mcp.opencaselaw.ch/entscheid/vd_omni_PE.2010.0503</w:t>
      </w:r>
    </w:p>
    <w:p>
      <w:r>
        <w:t>FR: VD_OMNI PE.2010.0503 du 10 décembre 2010</w:t>
      </w:r>
    </w:p>
    <w:p>
      <w:r>
        <w:t>IT: VD_OMNI PE.2010.0503 del 10 dicembre 2010</w:t>
      </w:r>
    </w:p>
    <w:p>
      <w:pPr>
        <w:pStyle w:val="Heading2"/>
      </w:pPr>
      <w:r>
        <w:t>Regeste</w:t>
      </w:r>
    </w:p>
    <w:p>
      <w:r>
        <w:t>X. c/Service de la population (SPOP) | Confirmation du refus de délivrer une autorisation de séjour en faveur d'un ressortissant du Kosovo sous l'angle de l'art. 30 al. 1 let. b LEtr. Séjour illégal de 2002 à 2009 dans notre pays. Arrivée en Suisse à l'âge de 20 ans, pas d'intégration exceptionnelle, célibataire, ni enfant ni parenté dans notre pays. Possibilité de faire valoir au Kosovo l'expérience professionnelle (fromager) acquise ici. Traitement médical (médicaments notamment) disponible dans son pays d'origine.</w:t>
      </w:r>
    </w:p>
    <w:p>
      <w:pPr>
        <w:pStyle w:val="Heading2"/>
      </w:pPr>
      <w:r>
        <w:t>Erwägungen</w:t>
      </w:r>
    </w:p>
    <w:p>
      <w:r>
        <w:rPr>
          <w:b/>
        </w:rPr>
        <w:t>E. 1</w:t>
      </w:r>
    </w:p>
    <w:p>
      <w:r>
        <w:t>L'art. 30 al. 1 let. b de la loi fédérale du 16 décembre 2005 sur les étrangers (LEtr ; RS 142.20) a la teneur suivante: "Il est possible de déroger aux conditions d'admission (art. 18 à 29) dans les buts suivants: a. […] b. tenir compte des cas individuels d'une extrême gravité ou d'intérêts publics majeurs; […]". L'art. 31 de l'ordonnance du 24 octobre 2007 relative à l'admission, au séjour et à l'exercice d'une activité lucrative (OASA; RS 142.201) qui complète, selon son titre marginal, l'art. 30 al. 1 let. b LEtr,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En conclusion, les éléments au dossier ne permettent pas de tenir la situation du recourant comme constitutive d'un cas individuel d'extrême gravité. De plus, le recourant n’a nullement établi en quoi l’exécution de son renvoi ne s’avérerait pas possible, ne serait pas licite ou ne pourrait être raisonnablement exigée (art. 83 LEtr). La décision attaquée, qui ne viole pas le droit fédéral ni ne procède d'un abus du pouvoir d'appréciation de l'autorité intimée, doit ainsi être confirmée.</w:t>
      </w:r>
    </w:p>
    <w:p>
      <w:r>
        <w:rPr>
          <w:b/>
        </w:rPr>
        <w:t>E. 4</w:t>
      </w:r>
    </w:p>
    <w:p>
      <w:r>
        <w:t>Les considérants qui précèdent conduisent au rejet du recours aux frais de son auteur qui n'a pas droit à l'allocation de dépens (art. 49, 55, 91 et 99 de la loi sur la procédure administrative du 28 octobre 2008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