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PE.2010.0459 vom 6. Oktober 2010</w:t>
      </w:r>
    </w:p>
    <w:p>
      <w:r>
        <w:t>VD Tribunal cantonal, 2010-10-06, FR</w:t>
      </w:r>
    </w:p>
    <w:p>
      <w:r>
        <w:rPr>
          <w:b/>
        </w:rPr>
        <w:t xml:space="preserve">Quelle: </w:t>
      </w:r>
      <w:r>
        <w:t>https://mcp.opencaselaw.ch/entscheid/vd_omni_PE.2010.0459</w:t>
      </w:r>
    </w:p>
    <w:p>
      <w:r>
        <w:t>FR: VD_OMNI PE.2010.0459 du 6 octobre 2010</w:t>
      </w:r>
    </w:p>
    <w:p>
      <w:r>
        <w:t>IT: VD_OMNI PE.2010.0459 del 6 ottobre 2010</w:t>
      </w:r>
    </w:p>
    <w:p>
      <w:pPr>
        <w:pStyle w:val="Heading2"/>
      </w:pPr>
      <w:r>
        <w:t>Regeste</w:t>
      </w:r>
    </w:p>
    <w:p>
      <w:r>
        <w:t>X. c/Service de la population (SPOP) | Décision du SPOP - entrée en force - refusant de délivrer une autorisation de séjour au recourant originaire de la République démocratique du Congo, vivant illégalement en Suisse depuis 2003. L'intéressé présente une troisième demande de réexamen, déclarée irrecevable par le SPOP faute d'éléments nouveaux. Recours rejeté. De plus, purement dilatoire, le recours confine à la témérité. Attention du recourant attirée sur l'art. 39 LPA-VD.</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En définitive, l'autorité intimée n'a ni violé la loi ni excédé son pouvoir d'appréciation en déclarant irrecevable la demande de réexamen du 3 août 2010. La décision attaquée doit donc être confirmée. Le recours, manifestement mal fondé, peut être rejeté sans autre mesure d'instruction ou échange d'écritures sur la base de l'art. 82 LPA-VD, aux frais du recourant qui succombe et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