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PE.2010.0411 vom 26. November 2010</w:t>
      </w:r>
    </w:p>
    <w:p>
      <w:r>
        <w:t>VD Tribunal cantonal, 2010-11-26, FR</w:t>
      </w:r>
    </w:p>
    <w:p>
      <w:r>
        <w:rPr>
          <w:b/>
        </w:rPr>
        <w:t xml:space="preserve">Quelle: </w:t>
      </w:r>
      <w:r>
        <w:t>https://mcp.opencaselaw.ch/entscheid/vd_omni_PE.2010.0411</w:t>
      </w:r>
    </w:p>
    <w:p>
      <w:r>
        <w:t>FR: VD_OMNI PE.2010.0411 du 26 novembre 2010</w:t>
      </w:r>
    </w:p>
    <w:p>
      <w:r>
        <w:t>IT: VD_OMNI PE.2010.0411 del 26 novembre 2010</w:t>
      </w:r>
    </w:p>
    <w:p>
      <w:pPr>
        <w:pStyle w:val="Heading2"/>
      </w:pPr>
      <w:r>
        <w:t>Regeste</w:t>
      </w:r>
    </w:p>
    <w:p>
      <w:r>
        <w:t>X._____________, Y._____________, Z._____________/Service de la population (SPOP) | Demande de regroupement familial déposée le 19 mars 2009 pour deux enfants nés les 5 février 1996 et 8 janvier 1997. Le fils cadet n'ayant eu 12 ans que le 8 janvier 2009, les délais de l'art. 47 al. 1 LEtr ont été respectés en ce qui le concerne. Pour le surplus, les recourants ont démontré qu'une prise en charge correcte n'était plus possible dans leur pays d'origine et qu'il était clairement dans leur intérêt de vivre avec leur mère en Suisse, ce qui implique que le regroupement répond à des raisons familiales majeures au sens de l'art. 47 al. 4 LEtr. Dans ce cadre, il convient de tenir compte du fait que, en raison de sa situation précaire due à sa séparation, la mère n'était pas en mesure de demander le regroupement familial dans le délai au 31 décembre 2008 résultant de l'art. 126 al. 3 LEtr.</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Il convient dès lors d’entrer en matière.</w:t>
      </w:r>
    </w:p>
    <w:p>
      <w:r>
        <w:rPr>
          <w:b/>
        </w:rPr>
        <w:t>E. 2</w:t>
      </w:r>
    </w:p>
    <w:p>
      <w:r>
        <w:t>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la recourante étant titulaire d’une autorisation de séjour du fait de son mariage avec un Suisse,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ils vivent en ménage commun avec lui (a), ils disposent d'un logement approprié (b) et ils ne dépendent pas de l'aide sociale (c). Vu que pendant la durée de sa vie commune avec son époux suisse elle a un droit à une autorisation de séjour selon l’art. 42 al. 1 LEtr, la mère peut aussi invoquer un droit selon l’art. 8 CEDH au regroupement familial aux mêmes conditions que l’art. 44 LEtr (qui contrairement à l’art. 8 CEFH ne procure pas un droit) (cf. ATF 2C_508/2009 du 20 mai 2010 consid. 2.2 et 4.2).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b) En l’espèce, la demande d’autorisation d’entrée et de séjour litigieuse a été déposée le 19 mars 2009. Les recourants étant âgés de plus de 12 ans au moment de cette demande, le délai d’une année résultant des art. 126 al. 3 et 47 al. 1 LEtr n’a a priori pas été respecté. Cependant, le fils cadet n’a eu 12 ans que le 8 janvier 2009. Dès lors le délai d’une année ne courrait pour lui que dès cette date – le délai étant auparavant en principe encore de 5 ans – de telle sorte que le délai a en tout cas été respecté à son sujet pour la demande déposée un peu plus de deux mois plus tard. Il convient en outre de relever que la situation de la recourante est particulière, dès lors qu’elle s’est apparemment séparée de son premier époux au mois de décembre 2007. Ceci implique que la recourante n’avait plus de droit de présence assuré en Suisse au début de l’année 2008 (cf. art. 42 al. 1 LEtr) et il résulte d’ailleurs de son dossier qu’une enquête a été ouverte par le Service de la population dans le courant de l’année 2008 au sujet de son droit de séjourner en Suisse. Durant toute l’année 2008, la recourante se trouvait ainsi dans une situation précaire quant à son statut au regard du droit des étrangers, ceci jusqu’à son mariage avec B.________ le 30 décembre 2008. Dans ces conditions, il pouvait difficilement être exigé d’elle qu’elle requiert le regroupement familial en faveur de ses enfants durant le délai d’une année résultant des art. 126 al. 3 et 47 al. 1 LEtr. Il ne peut non plus être fait grief à la recourante de ne pas avoir requis le regroupement familial alors qu’elle vivait avec son précédent époux, ce dernier lui ayant fait savoir qu’il ne voulait pas que ses enfants s’installent en Suisse de manière définitive. Il y a lieu de constater au surplus que la recourante a requis le regroupement familial dans les mois qui ont suivi la régularisation de sa situation à la suite de son remariage. Dans ces circonstances, on peut se demander si l’on peut opposer à la recourante le non-respect du délai de 12 mois de l’art. 47 al. 1 LEtr (pour un cas comparable, voir arrêt PE.2010.0041 du 2 novembre 2010). Dès lors que, pour les motifs développés ci-dessous, le regroupement familial doit de toute manière être autorisé en application de l’art. 47 al. 4 LEtr, cette question souffre toutefois de demeurer indécise.</w:t>
      </w:r>
    </w:p>
    <w:p>
      <w:r>
        <w:rPr>
          <w:b/>
        </w:rPr>
        <w:t>E. 3</w:t>
      </w:r>
    </w:p>
    <w:p>
      <w:r>
        <w:t>a) Les raisons familiales majeures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Il ressort de la directive "Domaine des étrangers" de l'Office fédéral des migrations au chiffre</w:t>
      </w:r>
    </w:p>
    <w:p>
      <w:r>
        <w:rPr>
          <w:b/>
        </w:rPr>
        <w:t>E. 6</w:t>
      </w:r>
    </w:p>
    <w:p>
      <w:r>
        <w:t>"Regroupement familial" que, dans l'intérêt d'une bonne intégration, il ne sera fait usage de l'art. 47 al. 4 LEtr qu'avec retenue (cf. ch. 6.10.4; état au 1 er juillet 2009).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ATF 129 II 11 ss et ATF non publié du 23 juillet 2003 dans la cause A, 2A.192/2003 ; ATF 122 II 289 consid. 2a/b). Les raisons familiales majeures pour le regroupement familial ultérieur doivent être interprétées d'une manière conforme au droit fondamental au respect de la vie familiale (art. 13 Cst., art. 8 CEDH). Le Tribunal fédéral s’est penché récemment sur les conditions applicables au regroupement familial partiel (voir ATF 2C_270/2009 du 15 janvier 2010 consid. 4.7, publié aux ATF 136 II 78).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 raisons familiales majeures » au sens de l’art. 47 al. 4 LEtr, laissant ainsi subsister dans ce cas les principes développés sous l’ancien droit. Selon la jurisprudence rendue sous l’empire de la LSEE, le regroupement familial partiel différé est soumis à de strictes conditions.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consid. 3b; 124 II 361 consid. 3a).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ATF 2A.405/2006 du 18 décembre 2006 et 2A.737/2005 du 19 janvier 2007). b) Le regroupement familial partiel suppose également de tenir compte de l'intérêt supérieur de l'enfant, comme l'exige l'art. 3 par. 1 de la Convention du 20 novembre 1989 relative aux droits de l'enfant (RS 0.107; ci-après: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c)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 2C_325/2009 du 8 mars 2010 consid. 4.2 ; 133 II 6 consid. 3.1 p. 10 et les références citées). 4. a) Dans le cas d’espèce, il convient tout d’abord de relever que le temps mis par la recourante pour requérir le regroupement familial avec ses enfants s’explique pour des raisons objectives. Cette dernière indique en effet avoir voulu faire venir ses enfants en Suisse dès 2006 (ce que confirment les éléments figurant dans son dossier, notamment le rapport d’arrivée rempli en 2005) et avoir dû y renoncer en raison de l’opposition de son époux de l’époque. Lorsque les enfants l’ont rejointe en février 2007, son époux a persisté dans son opposition à ce que ceux-ci restent de manière définitive, ce que l’époux a confirmé par écrit (cf. pièce 12 des recourants). Ainsi, la mère n’aurait pas pu aboutir avec une demande de regroupement familial pour ses fils pendant son premier mariage avec le ressortissant italien (cf. pour la condition de l’accord du beau-père, aussi dans le cadre de l’art. 3 annexe I ALCP, ATF 136 II 65 consid. 5.2 p. 76 ; 136 II 177 consid.3.2.3 p. 186). Par la suite, la recourante a attendu son mariage avec B.________ à la fin de l’année 2008 pour engager des démarches qui ont abouti à la demande déposée en mars 2009, comportement qui peut se comprendre même si la demande aurait probablement pu être déposée quelques mois plus tôt. Dans ces circonstances, on ne saurait considérer que l’on se trouve en présence d’une demande formée abusivement, pour d’autres motifs que la volonté de constituer une communauté familiale. b) La demande de regroupement familial est motivée principalement par un changement des circonstances au Brésil concernant la prise en charge des enfants. Il convient par conséquent d’examiner s’il existe au Brésil des solutions permettant aux enfants de rester là où ils ont vécu jusqu’à leur arrivée illégale en Suisse en 2007. A cet égard, le tribunal n’a pas de raisons de mettre en doute l’affirmation de la recourante selon laquelle le père des enfants n’aurait plus de contact avec ces derniers. Pour ce qui est de sa famille, la recourante indique que les personnes à qui elle a confié ses enfants au moment de son départ en Suisse, soit sa mère et son frère, ne seraient plus en mesure d’assumer cette tâche. Pour ce qui est de son frère, elle démontre, preuves à l’appui, que ce dernier a un problème de toxicomanie et qu’il n’a ni emploi, ni domicile (cf. pièce 28bis). Pour ce qui est de sa mère, la recourante produit un certificat médical dont il ressort que celle-ci souffre de problèmes circulatoires avec variation constante de la tension artérielle, ce qui l’oblige à passer la plupart du temps alitée, le fait de devoir s’occuper de deux enfants constituant un facteur aggravant de la maladie (cf. pièce 13). S’agissant des conditions de vie de ses enfants au Brésil, la recourante a encore produit un courrier du Service de psychologie, psychomotricité et logopédie en milieu scolaire du 20 octobre 2010 dont il ressort que le psychologue qui s’est occupé de l’enfant Y.________ a, sur la base de diverses observations cliniques, fait l’hypothèse d’un vécu traumatique, cette hypothèse reposant sur trois aspects : la séparation d’avec sa maman, un climat de violences intra-familiales vécu au Brésil et, de manière plus générale, les difficultés de Y.________ à évoquer sa vie au Brésil, tant le souvenir de certains événements semble provoquer chez lui un sentiment de peur (cf. pièce 31). Vu ce qui précède, on constate qu’il existe des motifs sérieux et établis qui commandent de modifier la prise en charge éducative des deux enfants. De manière plus générale, contrairement à ce que soutient l’autorité intimée, les éléments mis en avant par la recourante démontrent que le bien des enfants commande qu’ils puissent vivre avec leur mère en Suisse, ceci en raison des circonstances familiales existant au Brésil. On relèvera au surplus que, âgés de 12 et 13 ans, les recourants ne sont pas à un âge proche de la majorité et qu’ils devraient pouvoir acquérir sans trop de difficulté la maîtrise de la langue française et s’intégrer dans leur nouveau pays. En l’occurrence, cette intégration devrait notamment être favorisée par le fait qu’ils bénéficient du soutien du nouvel époux suisse de leur mère. 5. Le recours doit ainsi être admis, la décision attaquée annulée et le dossier retourné au Service de la population afin qu’il délivre aux recourants une autorisation de séjour par regroupement familial. Vu le sort du recours, les frais sont laissés à la charge de l’Etat. La recourante, qui a agit par l’intermédiaire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