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PE.2010.0357 vom 4. April 2011</w:t>
      </w:r>
    </w:p>
    <w:p>
      <w:r>
        <w:t>VD Tribunal cantonal, 2011-04-04, FR</w:t>
      </w:r>
    </w:p>
    <w:p>
      <w:r>
        <w:rPr>
          <w:b/>
        </w:rPr>
        <w:t xml:space="preserve">Quelle: </w:t>
      </w:r>
      <w:r>
        <w:t>https://mcp.opencaselaw.ch/entscheid/vd_omni_PE.2010.0357</w:t>
      </w:r>
    </w:p>
    <w:p>
      <w:r>
        <w:t>FR: VD_OMNI PE.2010.0357 du 4 avril 2011</w:t>
      </w:r>
    </w:p>
    <w:p>
      <w:r>
        <w:t>IT: VD_OMNI PE.2010.0357 del 4 aprile 2011</w:t>
      </w:r>
    </w:p>
    <w:p>
      <w:pPr>
        <w:pStyle w:val="Heading2"/>
      </w:pPr>
      <w:r>
        <w:t>Regeste</w:t>
      </w:r>
    </w:p>
    <w:p>
      <w:r>
        <w:t>X.________/Service de la population (SPOP), Service de l'emploi | Refus confirmé d'une demande de main-d'oeuvre étrangère en faveur d'un ressortissant malaisien engagé en tant que cuisinier spécialisé en mets asiatiques. Ne satisfait pas à l'obligation d'effectuer des recherches sur le marché indigène du travail l'employeur qui n'en effectue pas avant la conclusion du contrat de travail et du dépôt, ultérieur, de la demande de permis de travail et qui, le jour du dépôt de la demande, se contente d'une inscription auprès de l'ORP.</w:t>
      </w:r>
    </w:p>
    <w:p>
      <w:pPr>
        <w:pStyle w:val="Heading2"/>
      </w:pPr>
      <w:r>
        <w:t>Erwägungen</w:t>
      </w:r>
    </w:p>
    <w:p>
      <w:r>
        <w:rPr>
          <w:b/>
        </w:rPr>
        <w:t>E. 1</w:t>
      </w:r>
    </w:p>
    <w:p>
      <w:r>
        <w:t>Aux termes de l’art. 18 de la loi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L’art. 18 LEtr ne confère pas de droit à l’étranger d’être admis en vue de l’exercice d’une activité lucrative en Suisse. L’autorité administrative compétente dispose d’un libre pouvoir d’examen en cette matière. En cas de recours, la cognition du tribunal est donc limitée à l’abus et à l’excès du pouvoir d’appréciation de l’autorité intimée, la LEtr ne prévoyant aucune disposition étendant le contrôle du tribunal à l’inopportunité.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entre autres ATF 116 V 307, consid. 2).</w:t>
      </w:r>
    </w:p>
    <w:p>
      <w:r>
        <w:rPr>
          <w:b/>
        </w:rPr>
        <w:t>E. 2</w:t>
      </w:r>
    </w:p>
    <w:p>
      <w:r>
        <w:t>a) L'art. 21 al. 1 LEtr précise qu'un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 de l'ODM, I Domaine des étrangers, ch. 4.3.2.1, état au 1 er juillet 2010).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 précitée, ch. 4.3.2.2). De jurisprudence constante, il ressort qu'il faut se montrer strict quant à l'exigence des recherches faites sur le marché du travail de manière à donner la priorité aux demandeurs d'emploi indigènes. Le tribunal rejette en principe les recours lorsqu'il apparaît que c'était par pure convenance personnelle que le choix de l'employeur s'est porté sur un étranger et non sur des demandeurs d'emploi présentant des qualifications comparables (v. notamment arrêt PE.2006.0405 du 19 octobre 2006 consid. 2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Si l'annonce dans la presse est pratiquement contemporaine à la requête de main d'œuvre étrangère, voire postérieure, elle n'est pas décisive, car l'employeur doit prospecter suffisamment tôt le marché indigène du travail avant de porter son choix sur un travailleur étranger (arrêt PE.2007.0270 du 6 septembre 2007). Dans le cas d'une ressortissante polonaise, le tribunal a jugé que l'annonce du poste vacant à l'office régional de placement et la mention de quatre offres de services insatisfaisantes ne suffisaient pas. Il fallait en outre faire paraître des annonces dans la presse quotidienne ou spécialisée (arrêt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consid. 3b). De même, la réponse à sept annonces spontanées de travailleurs sur Internet, la passation d'une unique annonce sur un site et le recours ponctuel à une agence de placement n'ont pas été jugés suffisants (arrêt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(arrêts PE.2006.0625 du 7 mai 2007; PE.2004.0352 du 10 novembre 2004 consid. 6a et les arrêts cités). b) En l’espèce, C. D.________ n'est pas un ressortissant de l'UE/AELE. Son engagement est donc soumis à l'ordre de priorité fixé par l'art. 21 al. 1 LEtr. L’employeur a fait inscrire une seule fois l’offre d’emploi vacant auprès de l’ORP à Vevey le 15 avril 2010. Outre le fait que l’unique démarche auprès d’un ORP n’est en soi pas suffisante pour établir des recherches sérieuses sur le marché indigène du travail, cette annonce a été accomplie uniquement pour la forme puisque non seulement la demande d'autorisation de séjour avec activité lucrative datait du même jour, mais surtout que le contrat de travail avait déjà été signé auparavant. C’est donc par pure convenance personnelle que le cuisinier a été choisi. Le recourant n'a ainsi pas démontré avoir déployé des efforts suffisants pour trouver un cuisinier sur le marché indigène, notamment en faisant paraître des annonces dans la presse écrite ou sur internet. C'est donc à juste titre que l'autorité intimée a refusé l'autorisation sollicitée pour le motif que l’ordre de priorité n’avait pas été respecté; le tribunal peut dès lors se dispenser d’examiner la question de savoir si les conditions liées aux qualifications de l’employé ainsi qu’à la taille de l’établissement sont remplies dans le cas d’espèce.</w:t>
      </w:r>
    </w:p>
    <w:p>
      <w:r>
        <w:rPr>
          <w:b/>
        </w:rPr>
        <w:t>E. 3</w:t>
      </w:r>
    </w:p>
    <w:p>
      <w:r>
        <w:t>Le recourant, dans son courrier du 8 octobre 2010, relève encore que le travailleur concerné avait été autorisé à travailler durant deux ans à l’Hôtel E.________, alors que l’état de fait déterminant de l’époque était sensiblement identique à celui retenu dans la présente procédure. Le recourant se prévaut en définitive ici du principe d’égalité de traitement. Or, même si l’on admettait que les éléments de fait déterminants étaient identiques entre les deux demandes de main d’œuvre étrangère, on relève que ce principe n’est d’aucun secours pour le recourant, car nul ne saurait invoquer le principe de l'égalité de traitement pour bénéficier d'une faveur illégalement accordée précédemment (cf. par exemple ATF 2A.531/2005 consid. 5). Il est vrai qu’une pratique illégale d’une autorité peut dans certains cas être confirmée si elle a été mise en place volontairement, que ladite autorité entend la maintenir à l’avenir, et qu’aucun intérêt public prépondérant ne s’y oppose (ATF 123 II 248 consid. 3 c p. 254 et 125 II 152). Tel n’est manifestement pas le cas en l’espèce, puisque la pratique de l'autorité intimée ainsi que la jurisprudence en matière d’ordre de priorité sont très strictes.</w:t>
      </w:r>
    </w:p>
    <w:p>
      <w:r>
        <w:rPr>
          <w:b/>
        </w:rPr>
        <w:t>E. 4</w:t>
      </w:r>
    </w:p>
    <w:p>
      <w:r>
        <w:t>Vu ce qui précède, le recours doit être rejeté et la décision attaquée confirmée. Le recourant, qui succombe, supporte les frais de justice et n'a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