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PE.2010.0349 vom 17. November 2010</w:t>
      </w:r>
    </w:p>
    <w:p>
      <w:r>
        <w:t>VD Tribunal cantonal, 2010-11-17, FR</w:t>
      </w:r>
    </w:p>
    <w:p>
      <w:r>
        <w:rPr>
          <w:b/>
        </w:rPr>
        <w:t xml:space="preserve">Quelle: </w:t>
      </w:r>
      <w:r>
        <w:t>https://mcp.opencaselaw.ch/entscheid/vd_omni_PE.2010.0349</w:t>
      </w:r>
    </w:p>
    <w:p>
      <w:r>
        <w:t>FR: VD_OMNI PE.2010.0349 du 17 novembre 2010</w:t>
      </w:r>
    </w:p>
    <w:p>
      <w:r>
        <w:t>IT: VD_OMNI PE.2010.0349 del 17 novembre 2010</w:t>
      </w:r>
    </w:p>
    <w:p>
      <w:pPr>
        <w:pStyle w:val="Heading2"/>
      </w:pPr>
      <w:r>
        <w:t>Regeste</w:t>
      </w:r>
    </w:p>
    <w:p>
      <w:r>
        <w:t>A.B.C.X.________/Service de la population (SPOP) | Demande de réexamen; le nouveau document produit par le recourant relatif à sa situation financière ne permet pas de déterminer le montant exact et l'origine de ses revenus et de sa fortune; la condition des moyens financiers suffisants posée par l'art. 24 al. 1 annexe I ALCP n'est ainsi toujours pas réalisée, à défaut de transparence de la part du recourant sur ses ressources financières; rejet confirmé de la demande de réexamen. Recours au TF déclaré irrecevable (arrêt 2C_924/2010).</w:t>
      </w:r>
    </w:p>
    <w:p>
      <w:pPr>
        <w:pStyle w:val="Heading2"/>
      </w:pPr>
      <w:r>
        <w:t>Erwägungen</w:t>
      </w:r>
    </w:p>
    <w:p>
      <w:r>
        <w:rPr>
          <w:b/>
        </w:rPr>
        <w:t>E. 1</w:t>
      </w:r>
    </w:p>
    <w:p>
      <w:r>
        <w:t>Une partie peut demander à l'autorité de réexaminer sa décision.</w:t>
      </w:r>
    </w:p>
    <w:p>
      <w:r>
        <w:rPr>
          <w:b/>
        </w:rPr>
        <w:t>E. 2</w:t>
      </w:r>
    </w:p>
    <w:p>
      <w:r>
        <w:t>a) L’accord entre la Confédération suisse, d’une part, et la Communauté européenne et ses Etats membres, d’autre part, sur la libre circulation des personnes (ALCP; RS 0.142.112.681) conclu le 21 juin 1999 et entré en vigueur le 1 er juin 2002 a notamment pour but d’accorder un droit d’entrée et un droit de séjour, sur le territoire des parties contractantes, aux personnes sans activité économique dans le pays d’accueil (art. 1 er let. c ALCP), et d’accorder les mêmes conditions de vie, d’emploi et de travail que celles accordées aux nationaux (art. 1 er let. d ALCP). Le droit de séjour sur le territoire d’une partie contractante est garanti aux personnes n’exerçant pas d’activité économique selon les dispositions de l’annexe I relatives aux non actifs (art. 6 ALCP). b) L’art. 24 al. 1 annexe I ALCP prévoit qu’une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L’alinéa 2 de l’art. 24 annexe I ALCP précise que les moyens financiers nécessaires sont réputés suffisants s’ils dépassent le montant en dessous duquel les nationaux, eu égard à leur situation personnelle, peuvent prétendre à des prestations d’assistance. Selon l'art. 16 al. 1 de l'ordonnance sur l'introduction de la libre circulation des personnes du 22 mai 2002 (OLCP; RS 142.203), les moyens financiers des ressortissants de la CE/AELE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Ainsi, en d'autres termes, les moyens financiers sont réputés suffisants si un citoyen suisse, dans la même situation, ne pourrait pas avoir recours à l'aide sociale (cf. directives OLCP, état au 1 er juin 2009, chiffre 8.2.3). c) Dans son arrêt du 28 septembre 2009 (PE.2009.0209), le tribunal a considéré que les documents transmis par le recourant au sujet de ses moyens financiers étaient insuffisants pour examiner s'il y avait un risque qu'il doive faire appel au revenu d'insertion (RI) pendant son séjour; les pièces produites n'attestaient en effet pas de manière précise le montant exact de ses revenus et de sa fortune. Malgré l'extrait de compte bancaire produit par le recourant avec sa demande de réexamen du 20 mars 2010, affichant un solde de 398'243 fr., la situation financière du recourant est toujours aussi floue. En effet, l'extrait de ce compte bancaire auprès de la BCV ne porte que sur la période du 9 au 15 octobre 2009. Ce document n'est ainsi pas déterminant, compte tenu du temps écoulé et du fait qu'il constitue un simple état de situation financière à un moment précis. Le recourant n'a d'ailleurs pas donné suite à la demande de renseignements du juge instructeur, qui a, d'une part, requis des explications sur l'origine des sommes transférées sur ce compte courant pendant le mois d'octobre 2009, et d'autre part, demandé la production des relevés bancaires mensuels de ce compte courant pour la période de novembre 2009 à juillet 2010. Au vu du manque de transparence affiché par le recourant au sujet de sa situation financière, une autorisation de séjour sans activité lucrative ne peut lui être accordée. Enfin, le recourant a revendiqué les prestations de l'assurance-chômage en Suisse depuis le 3 juin 2008, demande qui a d'ailleurs été refusée, alors qu'il sollicite une autorisation de séjour sans activité lucrative. Le recourant n'a apporté aucune explication sur le caractère paradoxal de cette situation. Le tribunal considère ainsi que la condition des moyens financiers suffisants posée par l'art. 24 al. 1 annexe I ALCP n’est toujours pas réalisée, à défaut d'informations plus précises sur l'origine des sommes parvenant sur les comptes bancaires du recourant. C'est donc à juste titre que l'autorité intimée a rejeté sa demande de réexamen.</w:t>
      </w:r>
    </w:p>
    <w:p>
      <w:r>
        <w:rPr>
          <w:b/>
        </w:rPr>
        <w:t>E. 3</w:t>
      </w:r>
    </w:p>
    <w:p>
      <w:r>
        <w:t>Les conditions prévues à l'art. 24 al. 1 annexe I ALCP donnant droit à l'octroi d'une autorisation de séjour sans activité lucrative se résument à la preuve de moyens financiers suffisants et à une couverture d'assurance-maladie. Cela ne signifie pas pour autant qu'un ressortissant européen puisse obtenir une autorisation de séjour sans véritablement résider dans le pays. La preuve de cette résidence doit se traduire par une présence continue, durant une majeure partie de l'année, c'est-à-dire en principe durant plus de 6 mois consécutifs sans interruption (art. 24 al. 6 annexe I ALCP). Cela implique pour l'intéressé, le cas échéant pour sa famille, un déplacement du centre de ses intérêts vitaux dans le pays d'accueil, où il doit disposer de son propre logement, pris à bail ou dont il est propriétaire (arrêt PE.2010.0024 du 7 juin 2010 consid. 4b). En l'espèce, le recourant n'a cessé de donner la même adresse postale depuis 2 ans sans indiquer de lieu de résidence en Suisse et il ressort en outre du dossier qu'il aurait annoncé son arrivée dans le canton des Grisons. Ces éléments sont ainsi de nature à renforcer les doutes qui se posent inévitablement sur la question de l'intérêt du recourant à obtenir une autorisation de séjour sans activité lucrative dans le canton de Vaud. La question de savoir si l'absence de résidence en Suisse justifie le refus d'autorisation de séjour peut toutefois demeurer ouverte, puisque le recours doit de toute manière être rejeté pour un autre motif (cf. considérant précédent).</w:t>
      </w:r>
    </w:p>
    <w:p>
      <w:r>
        <w:rPr>
          <w:b/>
        </w:rPr>
        <w:t>E. 4</w:t>
      </w:r>
    </w:p>
    <w:p>
      <w:r>
        <w:t>Il résulte des considérants qui précèdent que le recours doit être rejeté et la décision attaquée maintenue. Au vu de ce résultat, les frais de justice sont mis à la charge du recourant (art. 49 al. 1 LPA-VD). Il n'y a au surplus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