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PE.2010.0324 vom 28. Oktober 2011</w:t>
      </w:r>
    </w:p>
    <w:p>
      <w:r>
        <w:t>VD Tribunal cantonal, 2011-10-28, FR</w:t>
      </w:r>
    </w:p>
    <w:p>
      <w:r>
        <w:rPr>
          <w:b/>
        </w:rPr>
        <w:t xml:space="preserve">Quelle: </w:t>
      </w:r>
      <w:r>
        <w:t>https://mcp.opencaselaw.ch/entscheid/vd_omni_PE.2010.0324</w:t>
      </w:r>
    </w:p>
    <w:p>
      <w:r>
        <w:t>FR: VD_OMNI PE.2010.0324 du 28 octobre 2011</w:t>
      </w:r>
    </w:p>
    <w:p>
      <w:r>
        <w:t>IT: VD_OMNI PE.2010.0324 del 28 ottobre 2011</w:t>
      </w:r>
    </w:p>
    <w:p>
      <w:pPr>
        <w:pStyle w:val="Heading2"/>
      </w:pPr>
      <w:r>
        <w:t>Regeste</w:t>
      </w:r>
    </w:p>
    <w:p>
      <w:r>
        <w:t>X.________ c/Service de l'emploi | Recours contre une décision refusant l'octroi d'une autorisation de séjour avec activité lucrative en faveur d'un ressortissant canadien, faute pour l'employeur d'avoir effectué des recherches suffisantes sur le marché indigène. L'intéressé ne démontre nullement avoir entrepris des démarches auprès des offices régionaux de placement ou fait paraître d'éventuelles annonces dans la presse ou sur internet - seules figurant à cet égard au dossier quatre attestations d'entreprises de placement, au demeurant établies postérieurement à la décision attaquée; au surplus, il n'expose pas en quoi le profil recherché (dessinateur/menuisier) supposerait une expérience ou des qualifications particulières. Recours rejeté.</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l'emploi.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3.4 ; 116 V consid. 2 p. 310 et les arrêts cités).</w:t>
      </w:r>
    </w:p>
    <w:p>
      <w:r>
        <w:rPr>
          <w:b/>
        </w:rPr>
        <w:t>E. 3</w:t>
      </w:r>
    </w:p>
    <w:p>
      <w:r>
        <w:t>Est litigieuse en l'espèce la question de savoir si c'est à bon droit que l'autorité intimée a refusé d'accorder une autorisation de permis de séjour avec activité lucrative.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En l’espèce, la personne engagée par la recourante, de nationalité canadienne, ne peut se prévaloir d’un traité avec la Suisse dont elle pourrait déduire son droit à une autorisation de séjour ou d’établissement. Elle est par conséquent soumise aux dispositions de la LEtr. b) Aux termes de l'art. 18 LEtr, un étranger peut être admis en vue de l'exercice d'une activité lucrative salariée aux conditions suivantes: "a. son admission sert les intérêts économiques du pays; b.  son employeur a déposé une demande; c.  les conditions fixées aux art. 20 à 25 sont remplies." Ces conditions sont cumulatives. Selon le ch. 4.3.1 de la directive de l’Office fédéral des migrations (ODM), dans sa teneur au 1 er juillet 2010 (ci-après la "directive de l’ODM"), il ne s’agit pas de maintenir une infrastructure avec une main-d’œuvre peu qualifiée disposée à travailler pour de bas salaires, ni de soutenir les intérêts particuliers.</w:t>
      </w:r>
    </w:p>
    <w:p>
      <w:r>
        <w:rPr>
          <w:b/>
        </w:rPr>
        <w:t>E. 4</w:t>
      </w:r>
    </w:p>
    <w:p>
      <w:r>
        <w:t>L’autorité intimée estime que le recourant ne remplit pas les conditions posées à l’art. 21 LEtr. Conformément à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S'agissant de l'ordre de priorité au sens de l’art. 21 LEtr, les directives de l’ODM intitulées " I. Domaine des étrangers " prévoient en particulier ce qui suit dans leur version du 1 er juillet 2010: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PE.2010.423 du 3 décembre 2010 consid. 3a ; PE.2010.0154 du 9 septembre 2010, consid. 3 et PE.2009.0235 du 31 août 2009, consid. 3 et les arrêts cités; cf. également à ce sujet le chiffre 4.3.2 de la directive de l’ODM). En l’espèce, le dossier ne contient que les quatre attestations des entreprises de placement, établies au demeurant en cours de procédure et postérieurement à la décision attaquée. La recourante ne démontre nullement avoir entrepris des démarches auprès des offices régionaux de placement ou fait paraître d'éventuelles annonces dans la presse ou sur internet. Au surplus, la recourante n’expose pas en quoi le profil demandé correspondrait à une expérience particulière  ou particulièrement spécialisé. Force est donc de constater que les conditions de l’art. 21 LEtr et de la jurisprudence précitées ne sont pas réalisées. L'autorité intimée n'a ainsi pas abusé de son pouvoir d'appréciation en retenant que la recourante pourrait trouver un travailleur suisse ou ressortissant d'un Etat avec lequel a été conclu un accord sur la libre circulation des personnes ayant le même profil que le recourant, pour autant qu'elle entreprenne les démarches que l'on peut attendre d’elle. Pour cette raison, le recours doit être rejeté.</w:t>
      </w:r>
    </w:p>
    <w:p>
      <w:r>
        <w:rPr>
          <w:b/>
        </w:rPr>
        <w:t>E. 5</w:t>
      </w:r>
    </w:p>
    <w:p>
      <w:r>
        <w:t>Il résulte des considérants qui précèdent que le recours doit être rejeté et la décision de l’autorité intimée confirmée. Vu le sort de la cause, les frais seront mis à la charge de la recourante qui n’a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