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PE.2010.0322 vom 6. September 2010</w:t>
      </w:r>
    </w:p>
    <w:p>
      <w:r>
        <w:t>VD Tribunal cantonal, 2010-09-06, FR</w:t>
      </w:r>
    </w:p>
    <w:p>
      <w:r>
        <w:rPr>
          <w:b/>
        </w:rPr>
        <w:t xml:space="preserve">Quelle: </w:t>
      </w:r>
      <w:r>
        <w:t>https://mcp.opencaselaw.ch/entscheid/vd_omni_PE.2010.0322</w:t>
      </w:r>
    </w:p>
    <w:p>
      <w:r>
        <w:t>FR: VD_OMNI PE.2010.0322 du 6 septembre 2010</w:t>
      </w:r>
    </w:p>
    <w:p>
      <w:r>
        <w:t>IT: VD_OMNI PE.2010.0322 del 6 settembre 2010</w:t>
      </w:r>
    </w:p>
    <w:p>
      <w:pPr>
        <w:pStyle w:val="Heading2"/>
      </w:pPr>
      <w:r>
        <w:t>Regeste</w:t>
      </w:r>
    </w:p>
    <w:p>
      <w:r>
        <w:t>A.________ c/Service de la population (SPOP) | Confirmation de la révocation d'une autorisation de séjour délivrée à un ressortissant nigérian au bénéfice du regroupement familial. Les époux vivent séparés et leur tentative de reprendre la vie commune s'est soldée par un échec définitif. La correspondance que l'épouse, suissesse, a adressée au SPOP après la décision de révocation ne démontre guère une volonté de sa part de reprendre la vie commune avec le recourant. Au surplus, le recourant devra exécuter une peine ferme de 304 jours, soit un peu plus de dix mois, suite à sa condamnation pour blanchiment d'argent, outre une peine pécuniaire de 90 jours-amendes. Cette sanction pénale excède la limite de deux ans à partir de laquelle il y a lieu, en règle générale, de considérer que l'intérêt public à l'éloignement de l'étranger l'emporte sur son intérêt privé. Au surplus, le recourant ne peut pas se prévaloir de la nationalité suisse d'un enfant qui ne lui a pas été confié et dont il n'a pas la garde.</w:t>
      </w:r>
    </w:p>
    <w:p>
      <w:pPr>
        <w:pStyle w:val="Heading2"/>
      </w:pPr>
      <w:r>
        <w:t>Erwägungen</w:t>
      </w:r>
    </w:p>
    <w:p>
      <w:r>
        <w:rPr>
          <w:b/>
        </w:rPr>
        <w:t>E. 1</w:t>
      </w:r>
    </w:p>
    <w:p>
      <w:r>
        <w:t>Le recourant requiert de pouvoir s’exprimer oralement en audience; il requiert en outre le témoignage de son épouse, dont il vit séparé. Il requiert par ailleurs la réactualisation du rapport médical que le Dr D.________ lui a délivré le 25 avril 2010.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134 I 140 consid. 5.3 p. 148;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du 28 octobre 2008 sur la procédure administrative – LPA-VD, RSV 173.36).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le recourant et s’en tenir à une procédure exclusivement écrite. Dans ce contexte, ni l’audition du recourant, ni la déposition de B.________ ne sont susceptibles d’apporter un éclairage déterminant pour le sort du recours. B.________ a, le 21 juin 2010, adressé à l’autorité intimée un courrier dont il ressort, sans équivoque possible, qu’elle ne souhaite pas reprendre la vie commune avec le recourant. Quant au rapport médical versé au dossier, on relève que le recourant, s’il l’estimait utile, avait la faculté d’en obtenir lui-même une actualisation au regard d’éléments plus récents et de produire celle-ci à l’appui de son pourvoi. Quoi qu’il en soit, il paraît superfétatoire, pour les mêmes motifs susindiqués, d’inviter ce praticien à délivrer un nouveau rapport. Dès lors, par appréciation anticipée des preuves, le Tribunal s’estime en mesure de statuer en connaissance de cause, en se dispensant de l’audience, du témoignage et des pièces requis par le recourant.</w:t>
      </w:r>
    </w:p>
    <w:p>
      <w:r>
        <w:rPr>
          <w:b/>
        </w:rPr>
        <w:t>E. 2</w:t>
      </w:r>
    </w:p>
    <w:p>
      <w:r>
        <w:t>L’autorité intimée justifie la révocation de l’autorisation de séjour délivrée au recourant du fait que celui-ci ne respecterait pas les conditions dont la décision est assortie, comme le permet l’art. 62 let. d de la loi fédérale du 16 décembre 2005 sur les étrangers (LEtr; RS 142.20). a) Aux termes de l’art. 42 LEtr, le conjoint d’un citoyen suisse a droit à l’octroi d’une autorisation de séjour et au renouvellement de celle-ci, à condition de vivre en ménage commun avec son conjoint (al. 1); après un séjour légal ininterrompu de cinq ans, le conjoint a droit à une autorisation d’établissement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lucrative-OASA; RS 142.201). b) En l’espèce, les époux A.________-B.________ ont vécu ensemble durant près de quatre ans; toutefois, il est établi qu’ils ne font plus vie commune depuis mai 2007. A cette époque sans doute, Nicole B.________ entretenait encore l’espoir que cette vie commune puisse reprendre, malgré l’enquête ouverte contre le recourant et sa détention préventive. C’est la raison pour laquelle elle a précisé à l’attention de l’autorité intimée, le 1 er septembre 2008, qu’une procédure de divorce n’était en tout cas pas d’actualité. Depuis lors cependant, les circonstances ont changé. La tentative de reprise de vie commune que les époux ont entreprise à l’automne 2009 s’est soldée par un échec, puisque le recourant a fait preuve de violence à l’endroit de son épouse. Du reste, celle-ci s’est résolue à porter plainte et à obtenir, le 11 mars 2010, la condamnation du recourant pour voies de fait. A cela s’ajoute que le recourant a été condamné à une lourde peine pour blanchiment d’argent et infraction à la LSEE; on y reviendra. Depuis lors, il ne subsiste plus aucun doute sur les intentions réelles de B.________, quoiqu’en dise aujourd’hui le recourant. En effet, lorsqu’elle a appris que l’autorisation de séjour délivrée au recourant serait révoquée, cette dernière a spontanément adressée à l’autorité intimée une correspondance au contenu dénué de toute ambiguïté. Or, non seulement B.________ y approuve cette décision, mais elle entend obtenir l’assurance que le recourant soit bien refoulé de Suisse à destination du Nigeria. Elle fait même une allusion directe à sa sécurité et celle de son enfant C.________, laissant clairement entendre que le recourant pourrait à nouveau se montrer violent, voire même pourrait exercer des représailles à son encontre. On gardera en effet à l’esprit que B.________, dont la déposition au Tribunal correctionnel s’est avérée accablante pour le recourant (cf. jugement du 11 mars 2009, p. 19), savait au demeurant que le recourant était en relation d’affaires avec des trafiquants de stupéfiants et s’est rendue compte que les sommes d’argent arrivant au domicile conjugal ne provenaient pas de l’activité normale de l’entreprise (ibid., p. 17). Le moins que l’on puisse en dire est que sa correspondance au SPOP ne démontre guère une volonté de la part de B.________ de reprendre la vie commune avec le recourant. Dès lors, peu importe que cette dernière ait plus récemment manifesté à celui-ci son souhait qu’il soit finalement admis à poursuivre son séjour en Suisse, même si la plus grande réserve est de mise en la matière, B.________ étant apparemment fondée à craindre les réactions du recourant. Le souhait du conjoint séparé quant à la poursuite du séjour du requérant en Suisse n’est nullement déterminant; il s’avère ainsi inutile de recueillir les explications en audience de B.________. L’essentiel est à cet égard de constater que la vie commune, non seulement n’a pas repris, mais que sa reprise à brève ou moyenne échéance s’avère plus qu’aléatoire, au point que l’on doive admettre qu’il n’y a désormais plus aucun espoir de réconciliation. Dès lors, les conditions qui justifiaient qu’une autorisation de séjour soit délivrée au recourant au bénéfice du regroupement familial ne sont plus réunies. C’est donc à juste titre que celle-ci a été révoquée.</w:t>
      </w:r>
    </w:p>
    <w:p>
      <w:r>
        <w:rPr>
          <w:b/>
        </w:rPr>
        <w:t>E. 3</w:t>
      </w:r>
    </w:p>
    <w:p>
      <w:r>
        <w:t>A supposer même qu’un doute eût subsisté sur les intentions de B.________ quant à la reprise de la vie commune avec le recourant, un autre motif  dirimant commanderait de toute façon la révocation de son permis d’établissement. a) Aux termes de l’art. 62 LEtr, l’autorité compétente peut révoquer une autorisation, notamment, si l’étranger a été condamné à une peine privative de liberté de longue durée ou a fait l’objet d’une mesure pénale prévue aux art. 64 ou 61 du code pénal (let. b)ou s’il attente de manière grave ou répétée à la sécurité et l’ordre publics en Suisse ou à l’étranger, les met en danger ou représente une menace pour la sécurité intérieure ou extérieure de la Suisse (let. c). L’art. 80 de l’ordonnance fédérale relative à l’admission, au séjour et à l’exercice d’une activité lucrative du 24 octobre 2007 (OASA; RS 142.201) précise qu’il y a atteinte à la sécurité et à l’ordre publics notamment en cas de violation de prescriptions légales ou de décisions d’autorités (al. 1 let. a). L’art. 80 al. 2 OASA dispose en outre que la sécurité et l’ordre publics sont menacés lorsque des éléments concrets indiquent que le séjour en Suisse de la personne concernée conduit selon toute vraisemblance à une atteinte à la sécurité et à l’ordre publics. Par ailleurs, l’art. 96 al. 1 LEtr dispose que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(ibid., al. 2). La jurisprudence développée sous l’empire de la loi fédérale sur le séjour et l’établissement des étrangers (LSEE; en vigueur jusqu’au 31 décembre 2007) s’applique mutatis mutandis à l’art. 62 LEtr.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peine infligée par le juge pénal est le premier critère à prendre en considération pour évaluer la gravité de la faute et procéder à la pesée des intérêts en présence (ATF 129 II 215 consid. 3.1 p. 216; 120 Ib 6 consid. 4c p. 15 s.). Une peine privative de liberté de plus d'une année est considérée une peine de longue durée et constitue un motif de révocation de l'autorisation au sens de l'art. 62 al. 1 let. b in initio LEtr (ATF 135 II 377 consid. 4.2 p. 380), ceci indépendamment du fait qu'elle ait été prononcée avec un sursis complet ou partiel, respectivement sans sursis (ATF 2C_14/2010 du 15 juin 2010 consid. 6.1; 2C_651/2009 du 1 er mars 2010 consid. 4.1.2). b) Même lorsque ces conditions sont remplies, l'autorité n'est cependant pas tenue de prononcer la révocation, mais en a la faculté; elle doit cependant examiner les circonstances du cas particulier et dispose d'une certaine marge d'appréciation (ATF 112  Ib 473 consid. 4 p. 478).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lettre b de l’art. l'art. 62 al. 1 let. b LEtr, en particulier dans les situations où existent de nombreuses condamnations à de petites peines (arrêt PE.2002.0246 du 15 octobre 2002, in RDAF 2003 I 147). De toute manière, ce principe "des deux ans" ne peut être appliqué sans autre discussion, lorsque la durée du séjour en Suisse est longue (ATF 2C_152/2007 du 22 avril 2008 consid. 4.3 et les réf. citées); plus la durée de ce séjour aura été longue, plus les conditions pour prononcer l'expulsion administrative doivent être appréciées restrictivement (ATF 2C_625/2007 du 2 avril 2008 consid. 7). On tiendra par ailleurs particulièrement compte, pour apprécier la proportionnalité de la mesure, de l'intensité des liens de l'étranger avec la Suisse et des difficultés de réintégration dans son pays d'origine ( ATF 130 II 176 consid. 4.4.2 p. 190; 125 II 521 consid. 2b p. 523 s.; 122 II 433 consid. 2c p. 436; cf. Magalie Gafner, Personnes de nationalité étrangère, délinquance et renvoi: Une double peine?, in RDAF 2007 I p. 12 ss). De manière générale, le prononcé d’une mesure administrative doit s’effectuer en tenant compte du principe de proportionnalité. L’intérêt public à prendre une telle mesure doit l’emporter sur l’intérêt privé de la personne concernée. La protection de la collectivité publique face au développement du marché de la drogue constitue toutefois un intérêt public important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Il s'agit du reste d'un domaine où la jurisprudence se montre particulièrement rigoureuse (ATF 122 II 433 consid. 2c p. 436).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135 I 143 consid. 3 p. 149 et ss ; 153  consid. 2.1 p. 155; 134 II 10 consid. 4.2 p. 23 et les références). Quant au droit au respect de la vie privée et familiale garanti par l'art. 8 par. 1 CEDH, il ne fait pas obstacle à ce qu'une mesure d’éloignement soit prononcée sur la base de l'art. 62 LEtr. Pour autant qu'elle soit conforme aux principes ci-avant exposés, en particulier celui de la proportionnalité, une telle mesure constitue en effet une ingérence nécessaire à la défense de l'ordre public et à la prévention des infractions pénales au sens de l'art. 8 par. 2 CEDH (ATF 2C_385/2008 du 20 août 2008 consid. 4.1; 125 II 521 consid. 5 p. 529). La réglementation prévue par l'art. 8 CEDH prévoit que le droit au respect de la vie familiale (par. 1) n'est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129 consid. 4b p. 131; 125 II 633 consid. 2 p. 639; 122 II 1 consid. 2 p. 5 ss; 120 Ib 22 consid. 4a p. 24).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n°54273/00, §46, CEDH 2001-IX, confirmé par l'arrêt Üner c. Pays-Bas, du 18 octobre 2006, affaire n°46410/99, §57), soit étaient de jeunes hommes ayant des liens très étroits avec notre pays (Arrêt Emre c. Suisse du 22 mai 2008, affaire n°42034/04). Dans l'arrêt Emre (§69 et 70), la Cour européenne des droits de l'homme a relevé que le motif sous-jacent à la décision de faire de la durée du séjour d'une personne dans le pays hôte l'un des éléments à prendre en considération résidait dans la supposition que plus longtemps une personne résidait dans un pays particulier, plus forts étaient ses liens avec ce pays et plus faibles étaient ses liens avec son pays d'origine, et qu'il convenait donc de tenir compte de la situation particulière des étrangers ayant passé la majeure partie, sinon l'intégralité, de leur enfance dans leur pays d'accueil, où ils y avaient reçu leur éducation, y avaient noué la plupart de leurs attaches sociales et y avaient par conséquent développé leur identité propre. Enfin, s'agissant de la Convention relative aux droits de l'enfant, le Tribunal fédéral a déjà tranché que celle-ci ne conférait aucun droit à un enfant ou à ses parents de séjourner en Suisse au titre du regroupement familial ( cf. ATF 126 II 377 consid. 4 et 5 pp. 388-392; 124 II 361 consid. 3b p. 367 ; ATF 2P.127/2006 du 19 mai 2006; ATF 2A.342/2002 du 15 août 2002). Il a notamment jugé que les art. 9 (séparation de l'enfant de ses parents) et 10 (réunification familiale et relations personnelles entre parents et enfants) de la Convention ne limitaient pas les compétences législatives des Etats membres en matière d'immigration, la Suisse ayant du reste émis une réserve au sujet de l'art. 10 par. 1 de cette Convention ( ATF 124 II 361 consid. 3b p. 367 ). C’est seulement s'agissant d u droit de séjour en Suisse du parent étranger ayant la garde de son enfant suisse, fondé sur la protection de la relation parent/enfant garantie par l'art. 8 CEDH ("regroupement familial inversé", "umgekehrter Familiennachzug") que le Tribunal fédéral a récemment précisé les critères à prendre en considération, en soulignant la nécessité de tenir davantage compte des droits découlant de la nationalité suisse de l'enfant ainsi que de la convention relative aux droits de l'enfant (ATF 135 I 143 consid. 2.3 p. 148, 153 consid. 2.2.2 p. 156 s.). c) En l’occurrence, l’accusé a été condamné, pour blanchiment d’argent qualifié et infraction à la LSEE, à une peine privative de liberté de 36 mois, soit trois ans,  sous déduction de 236 jours de détention avant jugement, dont l’exécution d’une partie, soit 18 mois, a suspendue avec délai d’épreuve de trois ans. Ainsi, l’accusé devra exécuter une peine ferme de 304 jours, soit un peu plus de dix mois. A cela s’ajoute qu’une peine pécuniaire de 90 jours-amendes lui a été infligée. Cette sanction pénale excède la limite de deux ans à partir de laquelle il y a lieu, en règle générale, de considérer que l'intérêt public à l'éloignement de l'étranger l'emporte sur son intérêt privé. Dès lors, seules des circonstances particulièrement favorables pourraient faire obstacle à cette mesure. Or, c’est en vain que l’on cherche en l’occurrence de telles circonstances. Au contraire, les juges pénaux ont insisté sur le poids de la culpabilité de l’intéressé, guidé exclusivement par le mobile de se procurer des gains aussi faciles qu’illicites. L’enquête a en effet démontré que le recourant était en contact avec une trentaine de personnes actives dans le trafic de stupéfiants et qu’en moins de deux ans, il s’était livré à des activités de blanchiment de montants provenant d’un trafic de cocaïne et portant sur un total d’au moins 663'160 fr. La Cour de cassation le rappelle dans son arrêt du 28 septembre 2009; celui qui favorise le blanchiment et fait en sorte que les trafiquants prennent un minimum de risques en envoyant l’argent de leur trafic à l’étranger, empêche une identification plus facile des mouvements de fonds et partant aussi, la découverte des infractions à la LStup, celles-ci pouvant donc se développer avec moins de contrainte (p. 8). Du jugement précité du 11 mars 2009, on relève du reste le passage suivant, particulièrement révélateur de la mentalité du recourant (p. 23): «A.________ a su très bien s’arranger avec sa conscience et fermer les yeux avec complaisance sur les activités illicites des personnes pour qui il faisait parvenir de l’argent au Nigeria, tirant largement bénéfice du service qu’il leur rendait, puisque cela lui permettait de financer ses propres activités dans le domaine de l’achat et de la vente de voitures d’occasion. L’acquisition par l’accusé d’un téléphone portable – en raison de l’écoute téléphonique dont il pensait être l’objet – est de plus significative à cet égard. » La culpabilité du recourant a été considérée comme lourde. Par surcroît, sa collaboration durant l’enquête a été qualifiée de mauvaise, de même que l’état d’esprit qu’il a manifesté en audience de jugement (p. 31). Les juges pénaux ont relevé sur ce point qu’il n’avait pas pris conscience de la gravité des faits qui lui étaient reprochés (ibid.), ceci malgré sa détention préventive, laquelle n’a eu aucun effet significatif à cet égard (p. 32). Il n’a du reste formulé ni regret, ni excuse (ibid.). Tous ces éléments ont été confirmés par la Cour de cassation, bien que celle-ci ait quelque peu réduit la quotité de la peine privative de liberté, jugée arbitrairement sévère, et octroyé le sursis partiel au recourant, avant tout au vu de son absence d’antécédent (arrêt, p. 21). La teneur de son recours démontre du reste que le recourant n’a toujours pas pris la mesure de cette condamnation, qu’il n’accepte pas et sur laquelle il revient, bien qu’entre-temps, celle-ci soit devenue définitive. Par conséquent, l’intérêt public à éloigner le recourant apparaît ici dans toute son évidence et la décision attaquée respecte le principe de proportionnalité, ce d’autant que l’intéressé possède toute sa famille au Nigeria, exception faite de son fils C.________ et d’un frère. Il a du reste vécu dans son pays natal jusqu’à sa vingt-neuvième année. Sa réinsertion sociale dans son pays d’origine n’est donc nullement compromise. Au surplus, le recourant ne peut pas se prévaloir à cet égard de la nationalité suisse d’un enfant qui ne lui a pas été confié et dont il n’a pas la garde. Il n’est du reste pas démontré, ni même allégué, que le développement de l’enfant C.________ serait mis en péril par la décision attaquée.</w:t>
      </w:r>
    </w:p>
    <w:p>
      <w:r>
        <w:rPr>
          <w:b/>
        </w:rPr>
        <w:t>E. 4</w:t>
      </w:r>
    </w:p>
    <w:p>
      <w:r>
        <w:t>Il reste toutefois à examiner si, nonobstant cette situation, le recourant peut encore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et 77 al. 2 OASA). Une autorisation de séjour peut en outre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PE.2008.0342 du 18 mars 2009).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PE.2007.0436 du 31 mars 2008 consid. 3 et les références). b) Le recourant vit en Suisse depuis moins de dix ans. Il y a sans doute développé une entreprise individuelle, qu’il a mise toutefois au service d’une organisation criminelle de blanchiment d’argent. Cette dernière circonstance n’est guère révélatrice d’une intégration réussie. A cela s’ajoute que le recourant ne dispose pas de qualifications particulières au sens où l’entend l’art. 23 LEtr. Sa réintégration sociale au Nigeria, où réside l’essentiel de sa famille, ne semble pas fortement compromise. Quant aux circonstances qui tiennent à son état de santé, que le recourant met en avant pour s’opposer à la révocation de son permis de séjour, elles ne sont pas davantage de mise. Le Dr D.________ a lui-même mis en relation l’instabilité psychique du recourant avec le stress occasionné par ses difficultés avec la justice, corroborant ainsi les constatations que l’expert mis en œuvre par le juge d’instruction avait faites (jugement du Tribunal correctionnel, p. 12). Cette instabilité s’est, certes, aggravée puisque le recourant a, depuis sa détention préventive, été hospitalisé à plusieurs reprises. Si la poursuite du traitement mis en place par les médecins de l’Hôpital psychiatrique de Cery pourrait s’avérer plus difficile au Nigeria, il n’est toutefois nullement établi qu’elle soit impossible. Le recourant ne démontre à tout le moins pas que ses conditions de vie au Nigeria soient mises en cause de manière accrue et comportent pour lui des conséquences particulièrement graves.</w:t>
      </w:r>
    </w:p>
    <w:p>
      <w:r>
        <w:rPr>
          <w:b/>
        </w:rPr>
        <w:t>E. 5</w:t>
      </w:r>
    </w:p>
    <w:p>
      <w:r>
        <w:t>Au vu ce qui précède, le recours doit être rejeté et la décision attaquée, confirmée. Le sort du recours commande que le recourant en supporte les frais (art. 49 et 91 LPA-VD)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