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PE.2010.0318 vom 30. August 2010</w:t>
      </w:r>
    </w:p>
    <w:p>
      <w:r>
        <w:t>VD Tribunal cantonal, 2010-08-30, FR</w:t>
      </w:r>
    </w:p>
    <w:p>
      <w:r>
        <w:rPr>
          <w:b/>
        </w:rPr>
        <w:t xml:space="preserve">Quelle: </w:t>
      </w:r>
      <w:r>
        <w:t>https://mcp.opencaselaw.ch/entscheid/vd_omni_PE.2010.0318</w:t>
      </w:r>
    </w:p>
    <w:p>
      <w:r>
        <w:t>FR: VD_OMNI PE.2010.0318 du 30 août 2010</w:t>
      </w:r>
    </w:p>
    <w:p>
      <w:r>
        <w:t>IT: VD_OMNI PE.2010.0318 del 30 agosto 2010</w:t>
      </w:r>
    </w:p>
    <w:p>
      <w:pPr>
        <w:pStyle w:val="Heading2"/>
      </w:pPr>
      <w:r>
        <w:t>Regeste</w:t>
      </w:r>
    </w:p>
    <w:p>
      <w:r>
        <w:t>A.X c/Service de la population (SPOP) | Cas de rigueur non admis: le recourant, ressortissant kosovar né en 1982, vit certes en Suisse depuis au moins 6 ans (10 ans d'après lui), mais toujours en situation illégale; par ailleurs, son intégration en Suisse n'est pas à ce point exceptionnelle que l'on ne pourrait envisager un retour dans son pays; en outre, il est jeune, en bonne santé et n'a pas d'enfant; un retour dans son pays, où il a vécu au moins jusqu'à l'âge de 18 ans, ne saurait dès lors représenter pour lui un véritable déracinement.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reproche à l'autorité intimée d'avoir nié l'existence d'un cas de rigueur. a) L'art. 30 al. 1 let. b LEtr a la teneur suivante: "Il est possible de déroger aux conditions d'admission (art. 18 à 29) dans les buts suivants: a. […] b. tenir compte des cas individuels d'une extrême gravité ou d'intérêts publics majeurs; […]" L'art. 31 al. 1 de l'ordonnance fédérale du 24 octobre 2007 relative à l'admission, au séjour et à l'exercice d'une activité lucrative (OASA; RS 142.201)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reprend les principes de l'art. 13 let. f de l'ancienne ordonnance fédérale du 6 octobre 1986 limitant le nombre des étrangers (OLE) abrogée le 1 er janvier 2008. On peut dès lors se référer à la jurisprudence y relative (Message du Conseil fédéral, FF 2002 III 3469, spéc. p. 3542; ég. arrêts PE.2008.0093 du 16 avril 2008; PE.2008.0367 du 30 juin 2009). b)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consid. 4 et la jurisprudence citée).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(ATF 130 II 39 consid. 3; ATF 124 II 110 consid. 3; voir ég. ATAF 2007/16 consid. 5.4). c) En l'espèce, le recourant affirme qu'il séjourne et travaille en Suisse depuis janvier 2000. On peut douter de cette allégation. Les plus anciennes fiches de salaire produites datent en effet d'octobre 2004. L'attestation de son oncle est par ailleurs sujette à caution. La question de la durée du séjour en Suisse du recourant peut toutefois demeurer ouverte. Comme on l'a rappelé ci-dessus, les séjours illégaux ne sont en effet pas pris en compte dans l'examen d'un cas de rigueur. Rien n'indique par ailleurs que le SPOP avait connaissance de la présence en Suisse du recourant avant le dépôt par ce dernier en février 2010 d'une demande d'autorisation de séjour. L'argument du recourant tiré du droit à la protection de la bonne foi doit ainsi être écarté. Il convient dès lors d'examiner si des éléments, autres que la seule durée du séjour en Suisse, pourraient rendre le retour du recourant dans son pays d'origine particulièrement ardu. A cet égard, on relève que l'intégration du recourant, si l'on fait abstraction de sa situation de clandestin, apparaît bonne. Il maîtrise la langue française, jouit d'une situation financière saine et travaille depuis plusieurs années (au moins depuis octobre 2004) pour le même employeur. Aucun élément du dossier ne permet toutefois de retenir que cette intégration serait à ce point exceptionnelle que l'on ne pourrait raisonnablement exiger du recourant un retour dans son pays. Le recourant n'a en effet pas connu d'ascension professionnelle et n'a pas développé en Suisse des qualifications ou des connaissances si spécifiques qu'il ne pourrait les mettre en pratique dans son pays d'origine. A cela s'ajoute que l'intéressé n'a pas d'enfant et qu'il est jeune (28 ans) et en bonne santé. Un retour dans son pays, où il a vécu au moins jusqu'à l'âge de 18 ans, ne saurait dès lors représenter pour lui un véritable déracinement. Il est certes probable qu'il se trouvera, de retour au pays, dans une situation économique sensiblement inférieure à ce qu'elle est ici; rien ne permet cependant de penser que cette situation serait sans commune mesure avec celle que connaissent ses compatriotes. De plus, le recourant a démontré qu'il était travailleur et capable de s'intégrer dans un environnement social; il devrait ainsi avoir la possibilité de se réadapter sans trop de difficultés dans son pays. Quoi qu'il en soit, l'art. 30 al. 1 let. b LEtr n'a pas pour but de soustraire les étrangers aux conditions générales de leur pays d'origine. Ces éléments permettent d'exclure que la situation du recourant constitue un cas personnel d'extrême gravité.</w:t>
      </w:r>
    </w:p>
    <w:p>
      <w:r>
        <w:rPr>
          <w:b/>
        </w:rPr>
        <w:t>E. 3</w:t>
      </w:r>
    </w:p>
    <w:p>
      <w:r>
        <w:t>Les considérants qui précèdent conduisent au rejet du recours et à la confirmation de la décision attaquée. Il appartiendra au SPOP de fixer un nouveau délai de départ.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