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PE.2010.0302 vom 3. November 2011</w:t>
      </w:r>
    </w:p>
    <w:p>
      <w:r>
        <w:t>VD Tribunal cantonal, 2011-11-03, FR</w:t>
      </w:r>
    </w:p>
    <w:p>
      <w:r>
        <w:rPr>
          <w:b/>
        </w:rPr>
        <w:t xml:space="preserve">Quelle: </w:t>
      </w:r>
      <w:r>
        <w:t>https://mcp.opencaselaw.ch/entscheid/vd_omni_PE.2010.0302</w:t>
      </w:r>
    </w:p>
    <w:p>
      <w:r>
        <w:t>FR: VD_OMNI PE.2010.0302 du 3 novembre 2011</w:t>
      </w:r>
    </w:p>
    <w:p>
      <w:r>
        <w:t>IT: VD_OMNI PE.2010.0302 del 3 novembre 2011</w:t>
      </w:r>
    </w:p>
    <w:p>
      <w:pPr>
        <w:pStyle w:val="Heading2"/>
      </w:pPr>
      <w:r>
        <w:t>Regeste</w:t>
      </w:r>
    </w:p>
    <w:p>
      <w:r>
        <w:t>X.________ c/Service de l'emploi | Décision sommant l'employeur de respecter les procédures applicables en cas d'engagement de main d'œuvre étrangère (sous menace de rejet des futures demandes dans ce sens pour une durée variant de 1 à 12 mois) et mettant à sa charge un émolument administratif de 250 fr., compte tenu de la présence comme employée au sein de l'entreprise en cause d'une ressortissante équatorienne sans titre lui permettant de travailler en Suisse. Une telle sommation peut être prononcée malgré la bonne foi de l'employeur; au demeurant, ce dernier emploie plusieurs autres personnes de nationalité étrangère et doit ainsi être considéré comme étant familier avec les différentes procédures en relation avec l'engagement de personnel étranger. Quant à la quotité de l'émolument mis à sa charge, elle est conforme à la réglementation en vigueur. Recours rejeté.</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La recourante conclut à l'annulation de la décision attaquée, y compris de la dénonciation figurant au chiffre 3 du dispositif. Selon une jurisprudence constante (arrêt PE.2009.0593 du 11 janvier 2010 consid. 1, ainsi que les références citées), la dénonciation n'est pas une décision sujette à recours. L'annonce de la dénonciation aux autorités pénales n'aurait pas dû figurer dans le dispositif de la décision attaquée (arrêt PE.2009.0593 précité). Le recours en tant qu'il porte sur le chiffre 3 du dispositif est dès lors irrecevable.</w:t>
      </w:r>
    </w:p>
    <w:p>
      <w:r>
        <w:rPr>
          <w:b/>
        </w:rPr>
        <w:t>E. 3</w:t>
      </w:r>
    </w:p>
    <w:p>
      <w:r>
        <w:t>(…)"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à laquelle on peut se référer (PE.2008.0389 du 8 septembre 2009 et références), le tribunal a rappelé la nécessité pour l'autorité d'adresser à l'employeur un avertissement écrit - intitulé sommation selon la terminologie de l’art. 55 OLE - sur les sanctions qu'il pourrait encourir, surtout s'il s'agit d'une première infraction ou d'une infraction mineure, avant que ne soit prononcé un blocage des autorisations. En l'absence de sommation préalable, il y a violation du principe de la proportionnalité (v.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cela malgré la bonne foi de la société recourante (PE.2009.0623 du 20 mai 2010; PE.2007.0473 du 27 décembre 2007). d) En l'espèce, la recourante ne conteste pas que Z.______________ a travaillé à son service. On se trouve en présence d'une activité lucrative au sens de l'art. 11 LEtr pour laquelle la recourante aurait dû s'enquérir du statut administratif de son futur employé et obtenir une autorisation de travail en sa faveur. De fait, la recourante n'a jamais obtenu d'autorisation pour l'employée concernée. Il convient tout d'abord de rappeler que la décision querellée se limite à une sommation. Conformément à la jurisprudence précitée (PE.2007.0473), une telle sommation peut être prononcée malgré la bonne foi de l'employeur. En l'occurrence, la recourante invoque néanmoins sa bonne foi en exposant que le SPOP lui aurait indiqué, sans doute par téléphone, que la situation de son employée était connue. Elle fait valoir en outre s’être fondée sur une attestation du contrôle des habitants de la Ville de Lausanne. Quoi qu'il en soit, la recourante, comme elle l’admet au demeurant, emploie plusieurs personnes de nationalité étrangère, de sorte qu'elle doit être considérée comme étant familière avec les différentes procédures et contraintes légales en relation avec l'engagement de personnel étranger. Si elle avait un doute à cet égard, elle était tenue, conformément à l'article 91 LEtr, de vérifier préalablement à l'engagement, que son employé étranger était bien autorisé à exercer une activité lucrative en Suisse, en se renseignant, le cas échéant, auprès des autorités compétentes. Or l'autorité compétente est le service cantonal de l'emploi, de sorte qu'elle ne saurait se prévaloir d'un renseignement délivré par le bureau communal des étrangers. Au contraire, on pouvait raisonnablement attendre d'elle que, dans ces circonstances, elle se renseigne de manière complète et spontanée auprès de l'autorité intimée compétente, ce qu'elle n'a pas fait. En définitive, la recourante était tenue de demander une autorisation de travail pour son employée. En ne le faisant pas de manière adéquate, elle a violé ses obligations résultant de l'art. 91 al. 1 LEtr. Dès lors que l'autorité intimée ne prétend pas qu'il s'agirait d'un cas de récidive, une sommation au sens de l'art. 122 al. 2 LEtr constitue une sanction appropriée laquelle respecte également le principe de proportionnalité. La décision querellée doit ainsi être confirmée sur ce point.</w:t>
      </w:r>
    </w:p>
    <w:p>
      <w:r>
        <w:rPr>
          <w:b/>
        </w:rPr>
        <w:t>E. 4</w:t>
      </w:r>
    </w:p>
    <w:p>
      <w:r>
        <w:t>La recourante conteste en outre devoir s'acquitter de l'émolument administratif fixé à 250 francs. Aux termes de l'art. 123 al. 1 LEtr, des émoluments peuvent être prélevés pour les décisions rendues et les actes officiels effectués en vertu de ladite loi. Les débours occasionnés par les procédures prévues dans la LEtr peuvent être facturés en sus. Il est précisé à l'art. 5 al. 1 ch. 23a du règlement cantonal du 8 janvier 2001 fixant les émoluments en matière administrative (RE-Adm; RSV 172.55.1) que le Département de l'économie perçoit un émolument de 250 fr. pour une sommation en cas de non-respect des prescriptions du droit des étrangers. En l'espèce, l'émolument réclamé dans la décision querellée est bien de 250 fr. Il n'est pas allégué en quoi ce montant serait excessif ou ne devrait pas être perçu. La décision de l'autorité intimée doit par conséquent être confirmée sur ce point également.</w:t>
      </w:r>
    </w:p>
    <w:p>
      <w:r>
        <w:rPr>
          <w:b/>
        </w:rPr>
        <w:t>E. 5</w:t>
      </w:r>
    </w:p>
    <w:p>
      <w:r>
        <w:t>Les considérants qui précèdent conduisent au rejet du recours et à la confirmation de la décision attaquée. L'émolument de justice est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