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PE.2010.0281 vom 14. Oktober 2010</w:t>
      </w:r>
    </w:p>
    <w:p>
      <w:r>
        <w:t>VD Tribunal cantonal, 2010-10-14, FR</w:t>
      </w:r>
    </w:p>
    <w:p>
      <w:r>
        <w:rPr>
          <w:b/>
        </w:rPr>
        <w:t xml:space="preserve">Quelle: </w:t>
      </w:r>
      <w:r>
        <w:t>https://mcp.opencaselaw.ch/entscheid/vd_omni_PE.2010.0281</w:t>
      </w:r>
    </w:p>
    <w:p>
      <w:r>
        <w:t>FR: VD_OMNI PE.2010.0281 du 14 octobre 2010</w:t>
      </w:r>
    </w:p>
    <w:p>
      <w:r>
        <w:t>IT: VD_OMNI PE.2010.0281 del 14 ottobre 2010</w:t>
      </w:r>
    </w:p>
    <w:p>
      <w:pPr>
        <w:pStyle w:val="Heading2"/>
      </w:pPr>
      <w:r>
        <w:t>Regeste</w:t>
      </w:r>
    </w:p>
    <w:p>
      <w:r>
        <w:t>A. X.________ c/Service de la population (SPOP), Service de l'emploi | La recourante souhaite engager une ressortissante moldave en qualité d'apprentie en économie familiale. Dans la mesure où elle n'allègue pas n'avoir trouvé aucun autre apprenti présentant le profil recherché et où les conditions de l'art. 23 LEtr ne sont à l'évidence pas remplies, aucune autorisation de séjour avec activité lucrative ne peut être délivrée à cette ressortissante moldave, l'ordre de priorité s'appliquant aussi aux apprentis. Recours rejeté.</w:t>
      </w:r>
    </w:p>
    <w:p>
      <w:pPr>
        <w:pStyle w:val="Heading2"/>
      </w:pPr>
      <w:r>
        <w:t>Erwägungen</w:t>
      </w:r>
    </w:p>
    <w:p>
      <w:r>
        <w:rPr>
          <w:b/>
        </w:rPr>
        <w:t>E. 1</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loi fédérale du 16 décembre 2005 sur les étrangers (LEtr; RS 142.20)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w:t>
      </w:r>
    </w:p>
    <w:p>
      <w:r>
        <w:t>a) aa)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 a de l'ordonnance fédérale du 24 octobre 2007 relative à l'admission, au séjour et à l'exercice d'une activité lucrative (OASA; RS 142.201) précise qu'e 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Les apprentis sont dès lors considérés en principe comme des personnes exerçant une activité lucrative et, partant, sont soumis au contingentement (art. 20 LEtr; 19 et 20 OAS A). Ils n'échappent pas davantage aux priorités du recrutement prévues par l'art. 21 LEtr (cf. Directives édictées par l'Office fédéral des migrations dans leur version du 1 er juillet 2010, ch. 4.1.1; arrêt PE.2009.0627 du 19 janvier 2010 consid. 1a p. 5). bb) Un étranger peut être admis en vue de l’exercice d’une activité lucrative salariée si son admission sert les intérêts économiques du pays, si son employeur a déposé une demande et si les conditions fixées aux art. 20 à 25 LEtr sont remplies (art. 18 LEtr). Selon l'art. 21 LEtr, u 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Suisses, les titulaires d’une autorisation d’établissement et les titulaires d’une autorisation de séjour qui ont le droit d’exercer une activité lucrative (al. 2). En outre, aux termes de l'art. 23 al. 1 LEtr, s euls les cadres, les spécialistes ou autres travailleurs qualifiés peuvent obtenir une autorisation de courte durée ou de séjour. Peuvent toutefois être admis, en dérogation à l'al. 1, les investisseurs et les chefs d’entreprise qui créeront ou qui maintiendront des emplois, les personnalités reconnues des domaines scientifique, culturel ou sportif, les personnes possédant des connaissances ou des capacités professionnelles particulières, si leur admission répond de manière avérée à un besoin, les cadres transférés par des entreprises actives au plan international ou les personnes actives dans le cadre de relations d’affaires internationales de grande portée économique et dont l’activité est indispensable en Suisse (art. 23 al. 3 LEtr). b) En l'espèce, la recourante a sollicité une autorisation de séjour avec activité lucrative en faveur d'une ressortissante moldave qu'elle souhaite engager en qualité d'apprentie en économie familiale. L'ordre de priorité s'appliquant aussi aux apprentis, des ressortissants d'Etats avec lesquels aucun accord sur la libre circulation des personnes n'a été conclu ne peuvent en principe pas obtenir d'autorisation de séjour avec activité lucrative, à moins qu'il ne soit démontré qu'aucun travailleur en Suisse ou ressortissant d'un Etat avec lequel un tel accord a été conclu correspondant au profil requis n'a pu être trouvé. A cet égard, la recourante n'allègue pas n'avoir trouvé aucun autre apprenti présentant le profil recherché. Il ressort d'ailleurs de son acte de recours qu'elle souhaite pouvoir engager un employé ressortissant d'un Etat dit "tiers", comme par exemple la Moldavie, au même titre qu'un employé suisse ou européen, ce que la loi ne lui permet pas. Pour le surplus, l'on relèvera qu'en qualité d'apprentie, la personne que la recourante souhaite engager ne remplit à l'évidence par les conditions de l'art. 23 LEtr. Il s'ensuit que l'autorité intimée n'a pas abusé de son pouvoir d'appréciation en refusant de délivrer à la recourante l'autorisation requise et que sa décision doit partant être confirmée.</w:t>
      </w:r>
    </w:p>
    <w:p>
      <w:r>
        <w:rPr>
          <w:b/>
        </w:rPr>
        <w:t>E. 3</w:t>
      </w:r>
    </w:p>
    <w:p>
      <w:r>
        <w:t>Le recours doit ainsi être rejeté aux frais de la recourante qui n'a pas droit à des dépens (art.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