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PE.2010.0277 vom 16. Juli 2010</w:t>
      </w:r>
    </w:p>
    <w:p>
      <w:r>
        <w:t>VD Tribunal cantonal, 2010-07-16, FR</w:t>
      </w:r>
    </w:p>
    <w:p>
      <w:r>
        <w:rPr>
          <w:b/>
        </w:rPr>
        <w:t xml:space="preserve">Quelle: </w:t>
      </w:r>
      <w:r>
        <w:t>https://mcp.opencaselaw.ch/entscheid/vd_omni_PE.2010.0277</w:t>
      </w:r>
    </w:p>
    <w:p>
      <w:r>
        <w:t>FR: VD_OMNI PE.2010.0277 du 16 juillet 2010</w:t>
      </w:r>
    </w:p>
    <w:p>
      <w:r>
        <w:t>IT: VD_OMNI PE.2010.0277 del 16 luglio 2010</w:t>
      </w:r>
    </w:p>
    <w:p>
      <w:pPr>
        <w:pStyle w:val="Heading2"/>
      </w:pPr>
      <w:r>
        <w:t>Regeste</w:t>
      </w:r>
    </w:p>
    <w:p>
      <w:r>
        <w:t>A.X.________ c/Service de la population (SPOP) | Ressortissant bosniaque ayant obtenu une autorisation de séjour à raison de son mariage avec une Suissesse, en 2004. La vie commune n'a duré que six mois. Confirmation du refus du SPOP de renouveler l'autorisation de séjour. Une telle mesure n'entre pas en ligne de compte: la vie commune a cessé (cf. art. 42 al. 1 LEtr); elle a duré moins de trois ans (cf. art. 50 al. 1 let. a LEtr), partant moins de cinq ans (cf. art. 42 al. 3 LEtr); on ne se trouve pas dans un cas de rigueur au sens de l'art. 50 al. 1 let. b LEtr.</w:t>
      </w:r>
    </w:p>
    <w:p>
      <w:pPr>
        <w:pStyle w:val="Heading2"/>
      </w:pPr>
      <w:r>
        <w:t>Erwägungen</w:t>
      </w:r>
    </w:p>
    <w:p>
      <w:r>
        <w:rPr>
          <w:b/>
        </w:rPr>
        <w:t>E. 1</w:t>
      </w:r>
    </w:p>
    <w:p>
      <w:r>
        <w:t>Le recourant requiert la tenue d’une audience. a) Les parties ont le droit d'être entendues (art. 29 al. 2 Cst. et 27 al. 2 Cst./VD).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133 I 270 consid. 3.1 p. 277; 132 II 485 consid. 3.2 p. 494; 132 V 368 consid. 3.1 p. 370/371, et les arrêts cités). Le droit d'être entendu s'exerce essentiellement en rapport avec les faits de la cause. Il n’implique pas que les parties se voient réserver la faculté de s’exprimer sur l’appréciation des faits ou sur l’argumentation juridique que l’autorité se propose de retenir à l’appui de la décision à prendre (ATF 132 II 257 consid. 4.2 p. 267, 485 consid. 3.4 p. 495; 129 II 497 consid. 2.2 p. 505). Il n’est fait exception à cette règle que lorsque l'autorité envisage de fonder sa décision sur une norme ou un motif juridique non évoqué dans la procédure antérieure et dont aucune partie en présence ne s'est prévalue et ne pouvait supputer la pertinence, que la situation juridique a changé ou que l'autorité dispose d'un pouvoir d'appréciation particulièrement étendu (ATF 129 II 497 consid. 2.2 p. 505). En outre, l'autorité peut renoncer au moyen de preuve offert par une partie, pour autant qu'elle puisse admettre sans arbitraire que ce moyen n'aurait pas changé sa conviction (ATF 131 I 153 consid. 3 p. 157; 130 II 425 consid. 2.1 p. 429; 124 I 241 consid. 2 p. 242, et les arrêts cités). Pour le surplus, les parties à la procédure de recours ont le droit de recevoir toutes les écritures déposées et disposent en principe du droit de répliquer aux arguments des parties adverses (ATF 133 I 98, 100; ATF 2C_688/2007 du 11 février 2008). Devant la Cour de droit administratif et public du Tribunal cantonal, la procédure est en principe écrite (art. 27 al. 1 LPA-VD). Les parties participent à l'administration des preuves (art. 34 al. 1 LPA-VD). L’autorité peut recourir à l’audition des parties et aux témoignages (art. 29 al. 1 let. a et f LPA-VD). Elle n'est toutefois pas liée par les offres de preuves formulées par les parties (art. 28 al. 2 LPA-VD); elle doit examiner les allégués de fait et de droit et administrer les preuves requises, si ces moyens n'apparaissent pas d'emblée dénués de pertinence (art. 34 al. 3 LPA-VD). Les art. 29 al. 2 Cst. et 27 al. 2 Cst./VD n’accordent en effet pas à la partie dans la procédure devant la juridiction administrative le droit inconditionnel d’être entendu oralement, ni celui d’obtenir l’audition de témoins (ATF 134 I 140 consid. 5.3 p. 148). L’autorité peut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134 I 140 consid. 5.3 p. 148; 130 II 425 consid. 2.1 p. 428/429; 125 I 209 consid. 9b p. 219; 122 II 464 consid. 4c p. 469/470, et les références citées). b) Le recourant demande à être entendu et à faire citer notamment les personnes ayant attesté de sa moralité, et de son intégration. Il n’est toutefois pas nécessaire de clarifier c es points pour examiner si, comme le soutient le recourant, il se trouve dans un cas de rigueur au sens de la jurisprudence (cf. consid. 3 ci-dessous) .</w:t>
      </w:r>
    </w:p>
    <w:p>
      <w:r>
        <w:rPr>
          <w:b/>
        </w:rPr>
        <w:t>E. 2</w:t>
      </w:r>
    </w:p>
    <w:p>
      <w:r>
        <w:t>a) Aux termes de l’art. 42 de la loi fédérale du 16 décembre 2005 sur les étrangers (LEtr; RS 142.20), le conjoint d’un citoyen suisse a droit à l’octroi d’une autorisation de séjour et au renouvellement de celle-ci, à condition de vivre en ménage commun avec son conjoint (al. 1); après un séjour légal ininterrompu de cinq ans, le conjoint a droit à une autorisation d’établissement (al. 3). b) Les époux X.________ se sont séparés en avril 2005. La vie commune n’a jamais repris depuis cette époque. Le divorce a été prononcé en 2009. Le recourant ne conteste pas ces faits. Les conditions du renouvellement de son autorisation de séjour, au sens de l’art. 42 al. 1 LEtr, ne sont dès lors pas remplies. c) Le recourant ne peut davantage se prévaloir de l’art. 42 al. 3 LEtr. Cette disposition présuppose que la vie commune ait duré cinq ans pour qu’une autorisation d’établissement soit octroyée (arrêt PE.2010.0095 du 22 mars 2010, consid. 2b). Or, la vie commune n’a duré que six mois, et le mariage moins de cinq ans. Pour la même raison, le recourant ne peut invoquer l’art. 50 al. 1 let. a LEtr, à teneur duquel après dissolution de la famille, le droit à la prolongation de l’autorisation de séjour en vertu de l’art. 42 LEtr notamment, subsiste lorsque l’union conjugale a duré trois ans au moins et que l’intégration est réussie (cf., en dernier lieu, arrêt PE.2009.0590 du 15 mars 2010, consid. 3).</w:t>
      </w:r>
    </w:p>
    <w:p>
      <w:r>
        <w:rPr>
          <w:b/>
        </w:rPr>
        <w:t>E. 3</w:t>
      </w:r>
    </w:p>
    <w:p>
      <w:r>
        <w:t>Le recourant soutient se trouver dans un cas de rigueur. a) Les raisons personnelles majeures visées à 50 al. 1 let. b LEtr sont notamment données lorsque le conjoint est victime de violence conjugale et que la réintégration sociale dans le pays de provenance semble fortement compromise (art. 50 al. 2 LEtr et 77 al. 2 de l’ordonnance fédérale du 24 octobre 2007 relative à l’admission, au séjour et à l’exercice d’une activité lucrative – OASA; RS 142.201). Une autorisation de séjour peut en outre être octroyée dans les cas individuels d'extrême gravité (art. 31 al. 1, 1 ère phrase OASA). Pour en décider, il convient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et des possibilités de réintégration dans l'Etat de provenance (art. 31 al. 1,  2 ème phrase, let. a à g OASA). Pour interpréter la notion de "raisons personnelles majeures" , on peut se référer à la jurisprudence développée sous l’empire de l’ancien art. 13 f de l'ordonnance du 6 octobre 1986 limitant le nombre des étrangers (OLE), en vigueur jusqu’au 31 décembre 2007, qui concernait les autorisations de séjour pouvant être délivrées "dans un cas personnel d'extrême gravité ou en raison de considérations de politique générale". Cela étant, l 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128 II 200 consid. 4 p. 207/208 et les références citées).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(cf. en dernier lieu, arrêts PE.2010.0095, précité, consid. 3a et les arrêts cités). b) Les conditions d’un cas de rigueur, au sens de la jurisprudence qui vient d’être rappelée, ne sont manifestement pas réalisées en l’espèce. Le recourant fait valoir ses références professionnelles, familiales et sociales, qui démontreraient son excellente intégration en Suisse. Ces éléments, même établis, ne changent rien au fait que le recourant ne se trouve pas dans une situation de détresse imposant son séjour en Suisse. Le recourant est jeune et en bonne santé. Il n’a pas d’enfant à charge et peut aisément retourner dans son pays d’origine, où la paix est revenue et dont il connaît la langue et la culture. Qu’une partie de sa famille vive en Suisse, et qu’il préfère vivre ici que dans son pays, où les conditions économiques sont notoirement plus difficiles, et que son comportement soit irréprochable, ne sont pas des éléments déterminants à cet égard.</w:t>
      </w:r>
    </w:p>
    <w:p>
      <w:r>
        <w:rPr>
          <w:b/>
        </w:rPr>
        <w:t>E. 4</w:t>
      </w:r>
    </w:p>
    <w:p>
      <w:r>
        <w:t>Le recours doit ainsi être rejeté et la décision attaquée confirmée. Les frais sont mis à la charge du recourant; il n’y a pas lieu d’allouer des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