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PE.2010.0260 vom 16. August 2010</w:t>
      </w:r>
    </w:p>
    <w:p>
      <w:r>
        <w:t>VD Tribunal cantonal, 2010-08-16, FR</w:t>
      </w:r>
    </w:p>
    <w:p>
      <w:r>
        <w:rPr>
          <w:b/>
        </w:rPr>
        <w:t xml:space="preserve">Quelle: </w:t>
      </w:r>
      <w:r>
        <w:t>https://mcp.opencaselaw.ch/entscheid/vd_omni_PE.2010.0260</w:t>
      </w:r>
    </w:p>
    <w:p>
      <w:r>
        <w:t>FR: VD_OMNI PE.2010.0260 du 16 août 2010</w:t>
      </w:r>
    </w:p>
    <w:p>
      <w:r>
        <w:t>IT: VD_OMNI PE.2010.0260 del 16 agosto 2010</w:t>
      </w:r>
    </w:p>
    <w:p>
      <w:pPr>
        <w:pStyle w:val="Heading2"/>
      </w:pPr>
      <w:r>
        <w:t>Regeste</w:t>
      </w:r>
    </w:p>
    <w:p>
      <w:r>
        <w:t>A. c/Service de l'emploi, Service de la population (SPOP) | Confirmation du refus d'un permis frontalier. D'une part, l'employé, un ressortissant nigérien titulaire d'un droit de séjour en France, ne réside pas dans la zone frontalière française depuis six moins au moins. D'autre part, l'employeur ne démontre pas - ni ne prétend - avoir effectué les démarches requises pour trouver un travailleur disponible sur le marché suisse ou européen.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Pour ce qui concerne les frontaliers, l’art. 25 al. 1 LEtr prévoit qu’un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L’art. 25 al. 2 LEtr dispose que les art. 20 (mesures de limitations), 23 (qualifications personnelles) et 24 (logement) ne sont pas applicables. A contrario, l'art. 21 LEtr relatif à l'ordre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(arrêt PE.2008.0517 du 3 juin 2009 consid. 3c). L'ordre de priorité implique que les employeurs annoncent le plus rapidement possible aux offices régionaux de placement les emplois vacants, qu'ils présument ne pouvoir repourvoir qu'en faisant appel à du personnel venant de l'étranger. Les offices de placement jouent en effet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importe aussi d'examiner l'opportunité de former ou de perfectionner les travailleurs disponibles sur le marché du travail suisse (Directives de l’Office fédéral des migrations (ODM), dans leur teneur du 1 er janvier 2008,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la seule fin de s’acquitter d’une exigence (p. ex. une fois le contrat de travail signé par le candidat)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(Directives de l'ODM, ch. 4.3.2.2). Ces règles correspondent à ce que prévoyaient les art.</w:t>
      </w:r>
    </w:p>
    <w:p>
      <w:r>
        <w:rPr>
          <w:b/>
        </w:rPr>
        <w:t>E. 7</w:t>
      </w:r>
    </w:p>
    <w:p>
      <w:r>
        <w:t>et 8 de l'ancienne ordonnance fédérale du 6 octobre 1986 limitant le nombre des étrangers (OLE), abrogée dès le 1 er janvier 2008. b) En l'espèce, B.X.________ ne séjourne dans la zone frontalière française que depuis le 1 er mai 2010, soit depuis moins de six mois. L'exigence fixée par l'art. 25 al. 1 let. a LEtr n'est dès lors pas remplie. La recourante ne le conteste pas. Pour ce motif déjà, le recours doit être rejeté. En outre, la recourante ne démontre pas – ni même ne prétend – avoir effectué les démarches requises pour trouver un travailleur disponible sur le marché suisse ou européen, expliquant qu'elle n'avait pas passé par un processus classique de recrutement sur le marché suisse ou européen et que son choix s'était porté sur B.X.________ car il était déjà au service du Groupe C.________ et qu'il avait les qualifications nécessaires pour assumer le poste. L'ordre de priorité n'a dès lors pas été respecté. Pour ce motif également, le recours doit être rejeté. 3. Les considérants qui précèdent conduisent au rejet du recours et à la confirmation de la décision attaquée. Dès lors que le tribunal statue ainsi sur le fond du litige, il n'y a pas lieu de donner suite à la requête de mesures provisionnelles, du 13 juillet 2010, tendant à la délivrance d'une autorisation provisoire.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