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PE.2010.0216 vom 7. September 2011</w:t>
      </w:r>
    </w:p>
    <w:p>
      <w:r>
        <w:t>VD Tribunal cantonal, 2011-09-07, FR</w:t>
      </w:r>
    </w:p>
    <w:p>
      <w:r>
        <w:rPr>
          <w:b/>
        </w:rPr>
        <w:t xml:space="preserve">Quelle: </w:t>
      </w:r>
      <w:r>
        <w:t>https://mcp.opencaselaw.ch/entscheid/vd_omni_PE.2010.0216</w:t>
      </w:r>
    </w:p>
    <w:p>
      <w:r>
        <w:t>FR: VD_OMNI PE.2010.0216 du 7 septembre 2011</w:t>
      </w:r>
    </w:p>
    <w:p>
      <w:r>
        <w:t>IT: VD_OMNI PE.2010.0216 del 7 settembre 2011</w:t>
      </w:r>
    </w:p>
    <w:p>
      <w:pPr>
        <w:pStyle w:val="Heading2"/>
      </w:pPr>
      <w:r>
        <w:t>Regeste</w:t>
      </w:r>
    </w:p>
    <w:p>
      <w:r>
        <w:t>A. X.________ X.________/Service de la population (SPOP) | Refus du SPOP de délivrer une autorisation de séjour à titre de regroupement familial à la fille d'une ressortissante camerounaise âgée, au moment du dépôt de la demande, d'un peu plus de 13 ans. La demande est tardive dès lors qu'elle n'a pas été déposée dans le délai d'une année prévu à l'art. 47 al. 1 LEtr. Aucune raison familiale majeure au sens de l'art. 47 al. 4 LEtr ne commande sa venue en Suisse. La recourante ne peut pas déduire de l'art. 8 CEDH un droit à ce que sa fille - qui a été confiée à sa grand-mère maternelle dès sa naissance - la rejoigne en Suisse étant donné qu'elles vivent séparées depuis plusieurs années.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recourante a requis l'assignation et l'audition de deux témoins, dont son époux. Bien qu'elle ait été expressément invitée à exposer en preuve de quels faits pertinents ces témoins devraient être entendus, elle n'a répondu qu'en ce qui concerne son mari, qui devrait renseigner le tribunal sur la situation de B. Y.________ au Cameroun, les relations qu'elle a avec sa mère et l'erreur dans laquelle cette dernière se trouvait au sujet des conditions d'un regroupement familial. Dans la mesure où ces éléments sont pertinents, le tribunal s'estime suffisamment renseigné par les écritures des parties et les pièces produites au dossier pour former sa conviction sans mettre en oeuvre l'audition de témoins.</w:t>
      </w:r>
    </w:p>
    <w:p>
      <w:r>
        <w:rPr>
          <w:b/>
        </w:rPr>
        <w:t>E. 3</w:t>
      </w:r>
    </w:p>
    <w:p>
      <w:r>
        <w:t>L'autorité intimée a refusé d'octroyer une autorisation de séjour à la fille de la recourante au motif que la demande de regroupement familial était tardive et qu'aucune raison familiale majeure ne justifiait un regroupement familial différé. a)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 2C_537/2009 du 31 mars 2010 consid. 2.2.2). En l’occurrence, la recourante étant titulaire d’une autorisation de séjour, du fait de son mariage avec un ressortissant camerounais au bénéfice d’une autorisation de séjour, le regroupement familial doit être envisagé sous l’angle de l’art. 44 LEtr. Cette disposition prévoit que l’autorité compétente peut octroyer une autorisation de séjour au conjoint étranger titulaire d’une autorisation de séjour et à ses enfants célibataires étrangers de moins de 18 ans aux conditions suivantes : ils vivent en ménage commun avec lui (let. a), ils disposent d’un logement approprié (let. b) et ils ne dépendent pas de l’aide sociale (let. c). L'art. 47 al. 1 LEtr et, en relation avec l'art. 44 LEtr, l'art. 73 al. 1 de l'ordonnance du 24 octobre 2007 relative à l'admission, au séjour et à l'exercice d'une activité lucrative (OASA; RS 142.201) prescrivent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LEtr au moment de leur entrée en Suisse ou de l'établissement du lien familial (let. a) et, pour les membres de la famille d'étrangers, lors de l'octroi de l'autorisation de séjour ou d'établissement ou lors de l'établissement du lien familial (let. b).  Aux termes des art. 47 al.</w:t>
      </w:r>
    </w:p>
    <w:p>
      <w:r>
        <w:rPr>
          <w:b/>
        </w:rPr>
        <w:t>E. 4</w:t>
      </w:r>
    </w:p>
    <w:p>
      <w:r>
        <w:t>En l'occurrence, il sied d'examiner s'il existe des raisons familiales majeures justifiant de déroger aux prescriptions fixant les délais en la matière. a) Le Tribunal fédéral s’est penché récemment sur les conditions applicables au regroupement familial partiel (cf. ATF 136 II 78 consid. 4.7 pp. 85 s.). Il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Selon la jurisprudence rendue sous l’empire de l'ancienne loi fédérale sur le séjour et l'établissement des étrangers, le regroupement familial partiel différé est soumis à de strictes conditions. La reconnaissance d’un droit au regroupement familial suppose qu’un changement important de circonstances, notamment d’ordre familial, se soit produit, telles qu’une modification des possibilités de la prise en charge éducative à l’étranger (cf. ATF 130 II 1; 124 II 361 consid. 3a p. 366). Dans la pratique récente, le critère de la relation familiale prépondérante n’est plus déterminant (ATF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11; 129 II 11 consid. 3.3.2 p. 16). Lorsque le regroupement familial est demandé à raison de changements importants des circonstances à l’étranger, il convient d’examiner s’il existe des solutions alternatives, permettant à l’enfant de rester où il vit; cette exigence est d’autant plus importante pour les adolescents (ATF 133 II 6 consid. 3.1.2 pp. 11 s.; ATF 2A.405/2006 du 18 décembre 2006 et 2A.737/2005 du 19 janvier 2007; cf. aussi arrêts PE.2010.0231 du 13 août 2010; PE.2007.0505 du 31 mars 2008 et PE.2007.0565 du 7 février 2008 et les arrêts cités). Les raisons familiales majeures pour le regroupement familial ultérieur doivent par ailleurs être interprétées d’une manière conforme au droit fondamental au respect de la vie familiale (art. 13 de la Constitution fédérale de la Confédération suisse du 18 avril 1999 - Cst.; RS 101 - et 8 de la Convention du 4 novembre 1950 de sauvegarde des droits de l’homme et des libertés fondamentales - CEDH; RS 0.101). Le regroupement familial partiel suppose également de tenir compte de l'intérêt supérieur de l'enfant, comme l'exige l'art. 3 ch. 1 de la Convention du 20 novembre 1989 relative aux droits de l'enfant (CDE; RS 0.107).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de la Cour européenne des droits de l'homme Neulinger et Shuruk contre Suisse du 8 janvier 2009 § 75 et les arrêts cités).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Par ailleurs, un étranger peut se prévaloir de la protection de la vie familiale découlant de l’art.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135 I 143 consid. 1.3.1 pp. 145 s.; 130 II 281 consid. 3.1 p. 285). Les relations familiales qui peuvent fonder, en vertu de l’art. 8 § 1 CEDH, un droit à une autorisation de police des étrangers sont avant tout les rapports entre époux ainsi qu’entre parents et enfants mineurs vivant ensemble (ATF 2C_508/2009 du 20 mai 2010 consid. 2.2; 127 II 60 consid. 1d/aa pp. 64 s.; 120 Ib 257 consid. 1d). Il est de plus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2C_526/2009 du 14 mai 2010 consid. 6; 2C_325/2009 du 8 mars 2010 consid. 4.2; 133 II 6 consid. 3.1 p. 10 et les références citées). b) En l'espèce, la demande de regroupement familial est essentiellement motivée par le fait que la recourante est parvenue à une stabilité financière et au vu d'un changement des circonstances dans la prise en charge de l'adolescente au Cameroun. La recourante expose être venue en Suisse pour épouser son ami de longue date. Elle et son mari auraient rapidement envisagé de faire venir sa fille restée au Cameroun, mais préféré attendre que leur situation financière s'améliore. A l'heure actuelle, ils expliquent vivre dans un appartement de 3,5 pièces avec leur fille âgée d'un peu plus d'une année et disposer de revenus suffisants à l'entretien de toute la famille. La recourante fait valoir qu'elle a eu sa fille B.________ très jeune, raison pour laquelle cette dernière a été prise en charge dès sa naissance par sa grand-mère maternelle. S'ils sont tout à fait compréhensibles, ces motifs ne constituent toutefois pas des raisons familiales majeures justifiant un regroupement familial différé. La recourante et son époux disposaient déjà du même appartement de 3,5 pièces au moment de leur mariage, et même si leur situation économique s'est améliorée quand la recourante a commencé à travailler, elle ne paraissait pas constituer auparavant un obstacle rédhibitoire à un regroupement familial plus rapide. D'autre part la recourante ne démontre pas qu'en restant au Cameroun sa fille se trouverait sans soutien, livrée à elle-même. Certes sa tante, à qui elle a été confiée au décès de sa grand-mère, a écrit le 9 juillet 2010 une lettre dans laquelle elle affirme qu'elle n'aura plus le temps de s'occuper de l'adolescente en semaine. Les raisons invoquées sont toutefois vagues (" …l'affaire dont je t'ai parlé a fini par aboutir, alors ça me prendra beaucoup de temps en 7 jrs. "), et la recourante a, semble-t-il, d'autres sœurs avec lesquelles vit sa fille (v. lettre de C. X.________ X.________ au SPOP, du 15 février 2010). Celle-ci est aujourd'hui âgée de 15 ans; elle atteindra sa majorité dans un peu moins de trois ans; elle ne nécessite par conséquent pas les mêmes soins qu'une enfant en bas âge; sa prise en charge ne devrait pas s'avérer si problématique, d'autant que la recourante pourra continuer à pourvoir à son entretien par des envois d'argent, voire la placer en pension si nécessaire. A cela s'ajoute qu'il n'est pas certain qu'un départ de son pays d'origine, où elle a grandi jusqu'alors aux côtés de sa grand-mère, puis de ses tantes, soit propre à préserver son bien-être. Son cercle familial et social se trouve en effet au Cameroun. Au vu de la jurisprudence restrictive en matière de regroupement familial différé, il s'ensuit que l'on ne peut reprocher à l'autorité intimée d'avoir abusé de son pouvoir d'appréciation en refusant de donner suite à la demande d'autorisation de séjour en faveur de la fille de la recourante. c) L'examen du cas d'espèce sous l'angle de l'art. 8 CEDH ne conduit pas à un autre résultat. En effet, la recourante a librement décidé de venir en Suisse pour y épouser son ami de longue date et de laisser sa fille au Cameroun, puis d'ajourner les démarches en vue d'un regroupement familial pour des raisons financières. La recourante et sa fille vivent séparées depuis plusieurs années et ne peuvent dès lors se prévaloir de la protection de leur vie familiale.</w:t>
      </w:r>
    </w:p>
    <w:p>
      <w:r>
        <w:rPr>
          <w:b/>
        </w:rPr>
        <w:t>E. 5</w:t>
      </w:r>
    </w:p>
    <w:p>
      <w:r>
        <w:t>Les considérants qui précèdent conduisent au rejet du recours et à la confirmation de la décision attaquée. Conformément aux art. 45 et 48 LPA-VD, un émolument de justice sera mis à la charge de la recourante, qui n'a d'autre part pas droit à des dépens (art. 55 LPA-VD). Il n'y a en revanche pas lieu de mettre à sa charge les frais de la seconde vérification de l'acte de naissance de sa fille, dès lors qu'elle avait déjà supporté les frais de la première, dont le résultat s'est avéré erroné; ces frais resteront à la charge de l'Etat. La recourante ayant été mise au bénéfice de l'assistance judiciaire, les autres frais judiciaires seront aussi supportés par le canton, provisoirement (art. 122 al.1 let. a et b CPC,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