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PE.2010.0187 vom 29. September 2010</w:t>
      </w:r>
    </w:p>
    <w:p>
      <w:r>
        <w:t>VD Tribunal cantonal, 2010-09-29, FR</w:t>
      </w:r>
    </w:p>
    <w:p>
      <w:r>
        <w:rPr>
          <w:b/>
        </w:rPr>
        <w:t xml:space="preserve">Quelle: </w:t>
      </w:r>
      <w:r>
        <w:t>https://mcp.opencaselaw.ch/entscheid/vd_omni_PE.2010.0187</w:t>
      </w:r>
    </w:p>
    <w:p>
      <w:r>
        <w:t>FR: VD_OMNI PE.2010.0187 du 29 septembre 2010</w:t>
      </w:r>
    </w:p>
    <w:p>
      <w:r>
        <w:t>IT: VD_OMNI PE.2010.0187 del 29 settembre 2010</w:t>
      </w:r>
    </w:p>
    <w:p>
      <w:pPr>
        <w:pStyle w:val="Heading2"/>
      </w:pPr>
      <w:r>
        <w:t>Regeste</w:t>
      </w:r>
    </w:p>
    <w:p>
      <w:r>
        <w:t>X._____________/Service de la population (SPOP) | Rejet d'un recours contre une décision du SPOP refusant de délivrer une autorisation de séjour en vue de mariage. En l'espèce, on ne saurait considérer que le mariage aura lieu dans un délai raisonnable ni que la recourante fait les efforts nécessaires pour que le mariage ait lieu le plus tôt possible. Par ailleurs, la recourante ne peut se prévaloir de la durée de sa relation avec son compagnon (qu'elle connaît depuis l'été 2009) pour obtenir une autorisation de séjour.</w:t>
      </w:r>
    </w:p>
    <w:p>
      <w:pPr>
        <w:pStyle w:val="Heading2"/>
      </w:pPr>
      <w:r>
        <w:t>Erwägungen</w:t>
      </w:r>
    </w:p>
    <w:p>
      <w:r>
        <w:rPr>
          <w:b/>
        </w:rPr>
        <w:t>E. 1</w:t>
      </w:r>
    </w:p>
    <w:p>
      <w:r>
        <w:t>La recourante a requis son audition ainsi que celle de son compagnon. a) Garanti à l’art. 29 al. 2 Cst., le droit d’être entendu permet au justiciable de participer à la procédure probatoire en exigeant l’administration des preuves déterminantes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(cf. notamment ATF 1C_194/2009 du 11 septembre 2009 consid. 2.2). b) En l’espèce, on constate que les faits ne sont pas litigieux. N’est notamment pas contesté le fait que la recourante et AY.________ entendent se marier, que ce dernier est divorcé et qu’ils ont engagé la procédure en vue de leur mariage. Dans ces circonstances, il n’y a pas lieu de donner suite à la requête tendant à leur audition, celle-ci n’étant pas susceptible d’apporter des éléments pertinents pour l’issue du litige. 2.                La recourante se base sur sa relation avec AY.________, ressortissant suisse, pour être autorisée à demeurer en Suisse en vue de préparer leur mariage. a) En principe, un étranger n’a pas de droit à une autorisation de séjour, à moins que ne puisse être invoquée une disposition particulière du droit fédéral ou d’un traité accordant le droit à la délivrance d’une telle autorisation (ATF 131 II 339 consid. 1).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ATF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(cf.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L'art. 30 al. 1 let. b de la loi fédérale du 16 décembre 2005 sur les étrangers (LEtr; RS 142.20)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b) En principe, s’il est démontré que les futurs époux font diligence pour que la procédure avance afin que le mariage puisse avoir lieu dans les meilleurs délais, une autorisation de séjour en vue de mariage devrait pouvoir être délivrée. En l’occurrence, il résulte du dossier que la recourante et son futur époux ont déposé une demande d’ouverture d’un dossier de mariage auprès de l’Etat civil de Lausanne le 22 août 2010 en produisant semble-t-il les documents requis. Il résulte toutefois de la demande déposée le 22 août 2010 que les futurs époux n’entendent se marier qu’au mois de mai 2011 (ils indiquent en effet comme date souhaitée de leur mariage le 14 mai 2011). Dans ces circonstances, on ne saurait considérer que le mariage aura lieu dans un délai «raisonnable» et que la recourante fait les efforts nécessaires pour que le mariage ait lieu le plus tôt possible. Partant, les exigences pour qu’une autorisation de séjour en vue de mariage puisse être délivrée ne sont pas remplies. c) Il sied encore d’examiner si la recourante ne pourrait pas, toujours en vertu des art. 8 CEDH, art. 30 al. 1 let. b LEtr et 31 OASA, se prévaloir de son union libre avec AY.________ pour obtenir la délivrance d’un permis de séjour. La recourante explique connaître AY.________ depuis l’été 2009. Ce laps de temps n’est manifestement pas suffisant pour retenir l’existence d’une relation stable au point de justifier la délivrance d’un permis de séjour. En effet, la jurisprudence est très stricte pour définir le caractère stable d’une relation entre concubins. Ainsi, la Cour de céans a jugé qu’une cohabitation de deux ans n’était pas suffisante (PE.2008.0420 du 9 septembre 2009 consid. 4c; PE.2008.0455 du 30 décembre 2009 consid. 1 cc). Le Tribunal fédéral a, quant à lui, estimé qu’une vie commune d’une année et demie n’avait pas non plus duré suffisamment longtemps pour qualifier une relation concubine de sérieuse et suffisamment stable (ATF 2C_300/2008 précité). Vu ce qui précède, la recourante ne saurait se prévaloir de la durée de sa relation avec AY.________ pour obtenir une autorisation de séjour. 3.                Il résulte des considérants qui précèdent que le recours doit être rejeté et la décision attaquée maintenue. Compte tenu du sort du recours, les frais seront mis à la charge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