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PE.2010.0173 vom 16. August 2010</w:t>
      </w:r>
    </w:p>
    <w:p>
      <w:r>
        <w:t>VD Tribunal cantonal, 2010-08-16, FR</w:t>
      </w:r>
    </w:p>
    <w:p>
      <w:r>
        <w:rPr>
          <w:b/>
        </w:rPr>
        <w:t xml:space="preserve">Quelle: </w:t>
      </w:r>
      <w:r>
        <w:t>https://mcp.opencaselaw.ch/entscheid/vd_omni_PE.2010.0173</w:t>
      </w:r>
    </w:p>
    <w:p>
      <w:r>
        <w:t>FR: VD_OMNI PE.2010.0173 du 16 août 2010</w:t>
      </w:r>
    </w:p>
    <w:p>
      <w:r>
        <w:t>IT: VD_OMNI PE.2010.0173 del 16 agosto 2010</w:t>
      </w:r>
    </w:p>
    <w:p>
      <w:pPr>
        <w:pStyle w:val="Heading2"/>
      </w:pPr>
      <w:r>
        <w:t>Regeste</w:t>
      </w:r>
    </w:p>
    <w:p>
      <w:r>
        <w:t>X. c/POLICE DE L'OUEST LAUSANNOIS | Une carte de sortie délivrée à la suite d'une décision de renvoi de Suisse exécutoire n'est pas une décision susceptible de recours. Irrecevabilité prononcée en application de l'art. 82 LPA-VD.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Est une décision toute mesure prise par une autorité dans un cas d'espèce, en application du droit public, et ayant pour objet : a.  de créer, de modifier ou d'annuler des droits et obligations; b.  de constater l'existence, l'inexistence ou l'étendue de droits et obligations; c.  de rejeter ou de déclarer irrecevables des demandes tendant à créer, modifier, annuler ou constater des droits et obligations.</w:t>
      </w:r>
    </w:p>
    <w:p>
      <w:r>
        <w:rPr>
          <w:b/>
        </w:rPr>
        <w:t>E. 2</w:t>
      </w:r>
    </w:p>
    <w:p>
      <w:r>
        <w:t>Sont également des décisions les décisions incidentes, les décisions sur réclamation ou sur recours, les décisions en matière d'interprétation ou de révision.</w:t>
      </w:r>
    </w:p>
    <w:p>
      <w:r>
        <w:rPr>
          <w:b/>
        </w:rPr>
        <w:t>E. 3</w:t>
      </w:r>
    </w:p>
    <w:p>
      <w:r>
        <w:t>Dans ces circonstances, les mesures d'instruction requises par le recourant doivent être rejetées, dès lors qu'elles ne sont pas susceptibles de modifier l'issue du recours. Quant à la requête tendant à la tenue de débats publics au sens de l'art. 6 CEDH, elle doit de même être écartée, dès lors que, selon la jurisprudence de la Cour européenne des droits de l'homme (décision du 4 février 2005 Mamatkulov et Askarov c/ Turquie, Recueil CourEDH 2005-I p. 225) et du Tribunal fédéral (cf. arrêt 2P.323/2006 et 2A.751/2006 du 27 mars 2007 consid. 3.1 et l'arrêt cité), l'art. 6 CEDH ne s'applique pas aux contestations sur le séjour des étrangers.</w:t>
      </w:r>
    </w:p>
    <w:p>
      <w:r>
        <w:rPr>
          <w:b/>
        </w:rPr>
        <w:t>E. 4</w:t>
      </w:r>
    </w:p>
    <w:p>
      <w:r>
        <w:t>Vu ce qui précède, le recours doit manifestement être déclaré irrecevable, selon la procédure par décision immédiate de l'art. 82 LPA-VD. L’arrêt peut être rendu sans frais. Il n'est pas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