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PE.2010.0152 vom 20. Januar 2011</w:t>
      </w:r>
    </w:p>
    <w:p>
      <w:r>
        <w:t>VD Tribunal cantonal, 2011-01-20, FR</w:t>
      </w:r>
    </w:p>
    <w:p>
      <w:r>
        <w:rPr>
          <w:b/>
        </w:rPr>
        <w:t xml:space="preserve">Quelle: </w:t>
      </w:r>
      <w:r>
        <w:t>https://mcp.opencaselaw.ch/entscheid/vd_omni_PE.2010.0152</w:t>
      </w:r>
    </w:p>
    <w:p>
      <w:r>
        <w:t>FR: VD_OMNI PE.2010.0152 du 20 janvier 2011</w:t>
      </w:r>
    </w:p>
    <w:p>
      <w:r>
        <w:t>IT: VD_OMNI PE.2010.0152 del 20 gennaio 2011</w:t>
      </w:r>
    </w:p>
    <w:p>
      <w:pPr>
        <w:pStyle w:val="Heading2"/>
      </w:pPr>
      <w:r>
        <w:t>Regeste</w:t>
      </w:r>
    </w:p>
    <w:p>
      <w:r>
        <w:t>A. X.________/Département de l'intérieur, Service de la population (SPOP) | Révocation de l'autorisation d'établissement. Arrivé en Suisse à l'âge de sept ans, le recourant a été condamné à six reprises entre 2001 et 2008 pour un total de presque cinq ans de peines privatives de liberté. En outre, le risque de récidive apparaît élevé. Malgré les nombreuses années passées en Suisse, il a conservé des liens étroits avec son pays d'origine, où vivent notamment sa femme et sa fille. Recours rejeté. Arrêt confirmé par le Tribunal fédéral (ATF 2C_153/2011).</w:t>
      </w:r>
    </w:p>
    <w:p>
      <w:pPr>
        <w:pStyle w:val="Heading2"/>
      </w:pPr>
      <w:r>
        <w:t>Erwägungen</w:t>
      </w:r>
    </w:p>
    <w:p>
      <w:r>
        <w:rPr>
          <w:b/>
        </w:rPr>
        <w:t>E. 1</w:t>
      </w:r>
    </w:p>
    <w:p>
      <w:r>
        <w:t>L’art. 63 al. 1 de la Loi fédérale du 16 décembre 2005 sur les étrangers (LEtr, RS 142.20) prévoit : « L’autorisation d’établissement ne peut être révoquée que dans les cas suivants: a. les conditions visées à l’art. 62, let. a ou b, sont remplies; b. l’étranger attente de manière très grave à la sécurité et l’ordre publics en Suisse ou à l’étranger, les met en danger ou représente une menace pour la sécurité intérieure ou extérieure de la Suisse; c. lui-même ou une personne dont il a la charge dépend durablement et dans une large mesure de l’aide sociale. » L'art. 63 al. 2 LEtr prévoit que, lorsque l'étranger réside légalement en Suisse sans interruption depuis plus de quinze ans, l'autorisation d'établissement ne peut être révoquée, par renvoi aux autres dispositions, que si l'étranger attente de manière très grave à la sécurité et à l'ordre publics en Suisse ou à l'étranger, les met en danger ou représente une menace pour la sécurité intérieure ou extérieure de la Suisse (art. 63 al. 1 let. b LEtr), ou encore si l'étranger a été condamné à une peine privative de liberté de longue durée ou a fait l'objet d'une mesure pénale prévue aux art. 64 ou 61 CP (art. 62 let. b LEtr). a) S ’agissant de la révocation de l’autorisation d’établissement, il faut que l’infraction ou la me nace soient très graves, alors qu’une atteinte grave ou répétée à l’ordre public suffit pour révoquer des autorisations de séjour ou d’autres décisions . La révocation de l’autorisation d’établissement est ainsi assortie de conditions plus élevées que dans le cadre de la révocation d'autorisations de séjour (D irectives de l'Office fédéral des migrations (ODM), " I. Domaine des étrangers ", chiffre 8: mesures d'éloignement, dans leur v ersion du 1 er juillet 2009  (ci-après: directives LEtr), ch. 8.2.1.5.2) . Lorsque les délits sont graves (violence criminelle, crimes sexuels et infractions sévères à la loi sur les stupéfiants) ou qu’il y a surtout récidive voire délinquance répétée, l’intérêt public à révoquer l’autorisation est substantiel (Directives LEtr ch. 8.2.1.5.1). D’après la jurisprudence du Tribunal fédéral relative à l'ancienne loi fédérale du 26 mars 1931 sur le séjour et l'établissement des étrangers (LSEE), abrogée par la LEtr entrée en vigueur le 1 er janvier 2008 , une expulsion était en principe possible lorsque la personne concernée avait été condamnée à une peine privative de liberté de deux ans ou plus (ATF 125 II 521). Plus récemment, le Tribunal fédéral a considéré qu'une peine privative de liberté d'une année est une peine de longue durée au sens de l'art. 62 let. b LEtr (ATF 135 II 377). L’art. 63 LEtr prévoit aussi la révocation de l’autorisation d’établissement dans ces cas (Directives LEtr 8.2.1.5.2). Selon le message du Conseil fédéral relatif à la LEtr, il paraît indiqué, sous l’angle de la durée du séjour ainsi que des inconvénients personnels et familiaux qu’entraîne la révocation de l’autorisation d’établissement suivie du renvoi, de ne faire usage qu’avec retenue de cette possibilité, notamment à l’encontre de personnes qui ont grandi en Suisse (FF 2002 3469, 3566). b) Selon la jurisprudence, même lorsqu'un motif de révocation de l'autorisation est réalisé, le prononcé de la révocation ne se justifie que si la pesée des intérêts à effectuer dans le cas d'espèce fait apparaître la mesure comme proportionnée aux circonstances (ATF 2C_323/2010 du 11 octobre 2010; 2C_746/2009 du 16 juin 2010; ATF 135 II 377; 130 II 176 consid. 3.3.4). Lorsque le motif de révocation consiste dans la commission d'un délit ou d'un crime, la peine infligée par le juge pénal est le premier critère servant à évaluer la gravité de la faute et à peser les intérêts. Le risque de récidive est un facteur important permettant d'apprécier le danger que présente un étranger pour l'ordre public ( ATF 120 Ib 6 consid. 4c). La durée de présence en Suisse d'un étranger constitue un autre critère très important. Plus cette durée est longue, plus les conditions pour prononcer l'expulsion administrative doivent être appréciées restrictivement ( ATF 125 II 521 consid. 2b). En ce sens, l'expulsion d'un étranger né et élevé en Suisse (soit d'un étranger dit de la deuxième génération) n'est pas a priori exclue, mais n'entre en ligne de compte que si l'intéressé a commis des infractions très graves, en particulier en cas de violence, de délits sexuels et de graves infractions à la loi fédérale sur les stupéfiants, ou en cas de récidive (arrêts précités; voir aussi arrêt 2C_625/2007 du 2 avril 2008, consid. 7.1). On tiendra alors particulièrement compte de l'intensité des liens de l'étranger avec la Suisse et des difficultés de réintégration dans son pays d'origine ( ATF 122 II 433 consid. 2c p. 436). Par ailleurs, l'expérience montre que la délinquance juvénile tend à disparaître chez la plupart des individus avec le passage à l'â ge adulte et que, s'agissant d'un immigré de longue durée qui avait passé légalement la majeure partie, sinon l'intégralité, de son enfance dans le pays d'accueil, il y avait lieu d'avancer de solides raisons pour justifier l'expulsion, surtout lorsque la personne concernée avait commis les infractions à l'origine de la mesure d'expulsion pendant son adolescence (ATF 2C_98/2009 du 10 juin 2009) . c) Finalement, les garanties découlant de la Convention du 4 novembre 1950 de sauvegarde des droits de l'homme et des libertés fondamentales (CEDH; RS 0.101) entrent également en considération. Si la CEDH ne garantit, comme tel, aucun droit pour un étranger de résider sur le territoire d’un pays déterminé , exclure une personne d’un pays où vivent ses parents proches constitue une ingérence dans le droit au respect de la vie privée et familiale, qui doit remplir les exigences de l’art . 8 § 2 CEDH . Il faut donc rechercher si la mesure est pré vue par la loi , justifiée par un ou plusieurs buts légitimes et « nécessaire, dans une société démocratique ». En ce qui concerne cette dernière question , il convient de déterminer si la mesure respect e un juste équilibre entre d’une part, le droit de l’intéressé au respect de sa vie privée et familiale, et, d’autre part, la protection de l’ordre public et la prévention des infractions pénale s. Pour ce faire, il faut tenir compte de quatre éléments principaux: (1) la nature et la gravité de l’infraction commise; (2) la durée d u séjour dans le pays dont il doit être expulsé; (3) le laps de temps écoulé entre la perpétration de l’infraction et la mesure litigieuse, ainsi que la conduite de l’intéressé durant cette période, et (4) la solidité des liens sociaux, culturels et familiaux avec le pays hôte et avec le pays de destination (voir CEDH- Emre c. Suisse du 22 août 2008 no 42034/04 et les références citées). Seuls des liens familiaux forts dans les domaines affectif et économique sont propres à faire passer au second plan l'intérêt public à l'éloignement d'un étranger ayant adopté un comportement répréhensible (cf. ATF 2C_530/2007 du 21 novembre 2007; ATF 120 Ib 1 consid. 3; PE.2009.0494 du 3 février 2010).</w:t>
      </w:r>
    </w:p>
    <w:p>
      <w:r>
        <w:rPr>
          <w:b/>
        </w:rPr>
        <w:t>E. 2</w:t>
      </w:r>
    </w:p>
    <w:p>
      <w:r>
        <w:t>a) En l'espèce, il y a lieu de constater, avec l’autorité intimée, que le recourant n’a eu cesse d'enfreindre l'ordre public depuis 2001 et a été condamné à de nombreuses reprises à des peines privatives de liberté. Sa dernière condamnation porte sur une peine privative de liberté de 20 mois, ce qui constitue, à elle seule, un motif de révocation au sens des art. 62 let. b et 63 LEtr.  Il existe donc un intérêt public à mettre fin à son activité délictueuse et la révocation de son permis d’établissement constitue un moyen adéquat pour qu’il cesse d'enfreindre l'ordre juridique suisse. A cet intérêt public s'oppose toutefois l’intérêt privé du recourant à rester en Suisse où vivent ses parents et sa sœur et où lui-même est arrivé alors qu’il était encore enfant. b) Dans le cadre de la pesée des intérêts, il y a lieu de relever, s’agissant de la gravité et de la nature des infractions, que le recourant a été condamné à six reprises entre 2001 et 2008, pour une quotité de peine privative de liberté totale de 59 mois et 5 jours, soit près de 5 ans. Certes, le recourant ne s’en est pas pris à l’intégrité physique de tiers et n’a pas été condamné pour des actes de violence, de délits sexuels ou de graves infractions à la loi fédérale sur les stupéfiants (voir 2C_625/2007 précité),  mais il convient de relever la répétition constante des infractions, de façon inquiétante depuis plusieurs années, à l’exception des périodes où il était incarcéré. On relèvera également que ces infractions ont été perpétrées alors que le recourant était largement majeur et qu'il était âgé de 23 ans lors de la première condamnation. On ne peut donc qualifier ses actes de délinquance juvénile et espérer qu’il s’amende avec l’âge. En effet, âgé aujourd’hui de 32 ans, on constate qu’il ne semble toujours pas en mesure de modifier son comportement : bénéficiant d’une permission en cours d’exécution de peine, il n’est pas revenu à l’issue de son congé le 25 octobre 2008 ; alors qu’il était en cavale, il n’a pas hésité à perpétrer de nouvelles infractions, avant d’être à nouveau interpellé, près d’une année plus tard, en octobre 2009. A cela s’ajoute que les nombreuses condamnations ne semblent avoir aucun effet de prise de conscience ; à peine libéré, il récidive. En particulier, alors qu’il avait bénéficié d’une libération conditionnelle le 23 février 2007, le recourant a, quelques jours seulement après son élargissement, récidivé en commettant une soixantaine d’escroqueries en un peu plus de six mois (voir jugement du Tribunal correctionnel de Lausanne du 15 août 2008) et alors même qu'il avait été averti par le SPOP, le 18 juin 2007, du risque de révocation administrative de son autorisation d'établissement. L’expertise psychiatrique du 5 mars 2004 relève d’ailleurs que les menaces et la perspective d’une peine plus lourde ne lui ont pas permis de résister à la tentation de l’argent facile, qu’il agit de manière impulsive, qu’il n’arrive pas à tirer un enseignement des sanctions reçues, que, sans encadrement, le risque de récidive est élevé. Les nombreuses infractions perpétrées depuis cette expertise démontrent l’impossibilité pour le recourant de se conformer à l’ordre établi. Certes, le recourant vient d'être mis sous tutelle volontaire. Une telle mesure, si elle est à saluer, ne suffit toutefois pas à écarter le risque de récidive qui est particulièrement élevé. Deux nouvelles enquêtes pénales sont d’ailleurs en cours et le recourant a été mis en détention préventive en septembre 2010. La menace qu’il représente pour l’ordre public suisse apparaît ainsi sérieuse et actuelle. Concernant la durée de son séjour en Suisse, on relève certes que le recourant y est arrivé à l’âge de 7 ans et qu’il y a par conséquent passé la majeure partie de sa vie (plus de 25 ans). Ses parents et sa sœur cadette y habitent. Du point de vue de son intégration, il convient de constater qu’il a eu de grandes difficultés scolaires et qu’il n’a pas pu terminer de formation professionnelle. Il n’a jusqu'ici pas pu conserver un emploi de manière durable. Il a certes produit, le 16 août 2010, dans le cadre de la présente procédure, un « contrat de travail du 12 mai 2010 », avec une entrée en fonction ce même jour, avec une société basée à 2********, alors qu’il était incarcéré du 28 janvier au 10 juillet 2010 à la Colonie pénitentiaire de Crêtelongue en Valais. On ignore si cet emploi s’est inscrit dans le cadre de l’exécution de sa peine et s’il poursuit encore cette activité. Rien n’est allégué dans ce sens et aucun certificat de travail ou fiche de salaire n’a été produit. Quoi qu'il en soit, même à supposer la réalité de cet emploi, au vu de la grande difficulté du recourant à assumer un travail rémunéré, tel que mis en évidence dans le rapport d'expertise psychiatrique et les jugements subséquents (développement intellectuel partiellement déficient, absence de formation professionnelle, et certaines caractéristiques de sa personnalité, telles qu’une vulnérabilité à la critique et une intolérance à la frustration), on peut douter de la poursuite de cette activité sur le long terme. A cela s’ajoute qu’avec un salaire horaire de 20.60 frs pour 17 h 30 de travail hebdomadaire, le recourant obtiendrait un salaire mensuel d’environ 1’440 frs, avec lequel il semble difficile, même en vivant chez ses parents, de rétablir sa situation financière largement obérée et de rembourser les nombreuses personnes et sociétés lésées par ses agissements délictueux, à concurrence de plusieurs dizaines de milliers de francs. De ce point de vue également le risque de récidive du recourant paraît élevé. Finalement, le recourant a conservé, malgré les nombreuses années passées en Suisse, des liens étroits avec son pays d’origine. Il s’y est marié par deux fois et sa femme et sa fille y habitent, de sorte qu'il est douteux qu'il puisse se prévaloir de l'art. 8 § 1 CEDH pour rester en Suisse, dès lors que sa famille réside à l'étranger. Le recourant a certes allégué, sans toutefois l'étayer, une situation conjugale très mauvaise. Cette allégation paraît toutefois contredite par les éléments figurant dans le dossier de la cause. Quoi qu'il en soit, selon les autorités pénales, il retourne régulièrement dans son pays d'origine, y passant même plus de temps qu’en Suisse (voir jugement du Tribunal correctionnel du 6 juillet 2004, ordonnance de condamnation du 15 septembre 2006  et audition du 17 novembre 2009). Il s’y est d’ailleurs rendu plusieurs mois pendant sa cavale. A cet égard, le recourant a expliqué, lors de son audition du 9 novembre 2009 par la police cantonale, qu'il s'était rendu auprès de sa fille depuis son évasion, afin de s'occuper de celle-ci qui était malade. Il a en outre manifesté son intention de quitter la Suisse et d'aller vivre en Serbie à sa sortie de prison (voir jugement du juge d’application des peines du 16 décembre 2009). Sa réintégration dans son pays d’origine ne semble ainsi pas devoir poser de problème particulier et lui permettrait, au contraire, d’entretenir des relations plus étroites avec sa femme est sa fille. Au vu de ce qui précède, la décision de révoquer l’autorisation d’établissement du recourant est conforme au droit et respecte le principe de la proportionnalité. La décision attaquée doit par conséquent être confirmée.</w:t>
      </w:r>
    </w:p>
    <w:p>
      <w:r>
        <w:rPr>
          <w:b/>
        </w:rPr>
        <w:t>E. 3</w:t>
      </w:r>
    </w:p>
    <w:p>
      <w:r>
        <w:t>Le recours est rejeté et la décision du chef du Département de l’intérieur du 1 er mars 2010 confirmée. Compte tenu de la situation financière du recourant, il est statué sans frais (art. 50 LPA-VD). Succombant, il n’a pas droit à des dépens (art. 55 LPA-VD). Le recourant ayant été mise au bénéfice de l'assistance judiciaire, selon décision du 16 avril 2010, il convient de statuer sur l'indemnité due à son conseil d'office. Les dispositions applicables à l'assistance judiciaire en matière civile sont applicables par analogie (art. 18 al. 5 LPA-VD). La loi du 24 novembre 1981 sur l'assistance judiciaire en matière civile, à laquelle renvoie l'art. 18 al. 5 LPA-VD a été abrogé par le Code de droit privé judiciaire vaudois du 12 janvier 2010 (CDPJ; RSV 211.02), entré en vigueur le 1 er janvier 2011. L'art. 39 al. 5 CDPJ délègue au Tribunal cantonal la compétence de fixer les modalités de la rémunération des conseils et de remboursement. Conformément à l'art. 2 al. 4 du règlement du Tribunal cantonal du 7 décembre 2010 sur l'assistance judiciaire en matière civile (RAJ; RSV 211.02.3), la décision fixant cette indemnité figure dans le dispositif du jugement au fond. En l'occurrence, le recourant a été représenté par Me Diego Bischof, qui est intervenu dans la procédure par sa stagiaire, Me Estelle de Luze. Il convient donc de retenir l'indemnité sur la base du taux horaire de 110 francs (art. 2 RAJ). Selon liste des opérations produite le 18 janvier 2011, le conseil d'office indique avoir consacré 12 heures et 10 minutes de travail pour les opérations de la cause, ainsi que 142 francs de débours. Au vu de la nature du dossier, il convient de retenir 12 heures et 10 minutes de travail, soit une indemnité de 1'338 francs et 142 francs de débours. A cela s'ajoute la TVA qu'il convient de calculer au taux de 7,6 %, dès lors que l'ensemble des prestations ont été fournies en 2010, c'est-à-dire avant l'entrée en vigueur du nouveau taux de 8%, le 1 er janvier 2011 (art. 115 et 112 de la loi fédérale du 12 juin 2009 régissant la taxe sur la valeur ajoutée: LTVA; RS 641.20). L'indemnité totale à allouer s'élève ainsi à 1'592.50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