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PE.2010.0115 vom 7. Juni 2010</w:t>
      </w:r>
    </w:p>
    <w:p>
      <w:r>
        <w:t>VD Tribunal cantonal, 2010-06-07, FR</w:t>
      </w:r>
    </w:p>
    <w:p>
      <w:r>
        <w:rPr>
          <w:b/>
        </w:rPr>
        <w:t xml:space="preserve">Quelle: </w:t>
      </w:r>
      <w:r>
        <w:t>https://mcp.opencaselaw.ch/entscheid/vd_omni_PE.2010.0115</w:t>
      </w:r>
    </w:p>
    <w:p>
      <w:r>
        <w:t>FR: VD_OMNI PE.2010.0115 du 7 juin 2010</w:t>
      </w:r>
    </w:p>
    <w:p>
      <w:r>
        <w:t>IT: VD_OMNI PE.2010.0115 del 7 giugno 2010</w:t>
      </w:r>
    </w:p>
    <w:p>
      <w:pPr>
        <w:pStyle w:val="Heading2"/>
      </w:pPr>
      <w:r>
        <w:t>Regeste</w:t>
      </w:r>
    </w:p>
    <w:p>
      <w:r>
        <w:t>A.________ c/Service de la population (SPOP) | Refus de renouveler le permis d'études de la recourante, d'origine moldave née en 1984, ayant accompli en Suisse le MBA annoncé et autorisé. Il n'y avait pas lieu d'autoriser l'intéressée à poursuivre ses études à l'UNIL en suivant des modules ne correspondant pas à une formation à plein temps (formation quasi terminée au moment où la CDAP statue); en parallèle, elle suivait des cours de français dans une école non reconnue. Enfin, sa sortie de Suisse n'est actuellement plus garantie (elle a des projets de mariage en Suisse). Recours rejeté.</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Dans des cas dûment motivés, les autorités compétentes peuvent également demander qu’un test linguistique soit effectué." b) Selon la jurisprudence (notamment arrêt du Tribunal administratif fédéral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Toujours selon la jurisprudence (notamment arrêt du TAF précité du 19 octobre 2009), 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RDAF I 1997 p. 287).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et réf. cit., arrêt concernant un étudiant étranger, né en 1971, au bénéfice d'un diplôme d'architecte obtenu dans son pays d'origine [Algérie], entré en Suisse en 2001, ayant décroché en Suisse en 2006 un diplôme d'études approfondies [DEA] en urbanisme et aménagement du territoire et qui désirait poursuivre ses études à plus de 35 ans par un doctorat, ce qui amené l'Office fédéral des migrations [ODM] à refuser son approbation à l'octroi d'une autorisation de séjour, refus confirmé par le TAF). c) D'après les directives "I. Domaine des étrangers" de l'ODM dans leur version au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2 OASA précité, qui n'autorise en principe qu'une seule formation ou un seul perfectionnement d’une durée maximale de huit ans,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ODM, loc. cit., renvoyant à la décision du TAF C-482/2006 du 27 février 2008). Toujours selon les directives précitées (loc. cit.),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et débouche sur un certificat de capacité professionnelle ou un diplôme.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loc. cit.). 2. En l'espèce, la recourante est entrée en Suisse en septembre 2008 en vue de suivre une formation d'une année devant lui permettre l'obtention d'un MBA. Elle a décroché ce titre en juin 2009, de sorte qu'elle ne saurait en principe prétendre à prolonger son séjour en Suisse au-delà de la durée initialement annoncée et autorisée. La recourante a néanmoins entrepris une formation complémentaire auprès de l'UNIL comportant 9 modules en vue de l'obtention d'un diplôme Marketing Management (diplôme d'études avancées). La recourante étant sur le point d'achever le volet "cours" (fin juin 2010) de la formation au bénéfice de la présente procédure, le recours ne conserve d'objet qu'en ce qui concerne le mémoire, dont la reddition est prévue pour fin septembre 2010. A première vue, ces nouvelles études ne pouvaient guère être autorisées pour un premier motif, à savoir le fait que la recourante, âgée de 25 ans au moment de la demande, bénéficiait déjà d'une solide formation, soit d'une licence universitaire moldave complétée par un master obtenu en Suisse. Quoi qu'il en soit, un second motif conduit à refuser la prolongation de l'autorisation de séjour. En effet, les modules ne correspondaient pas à une formation à plein temps, ce que la recourante ne conteste pas. Certes, celle-ci s'est inscrite à un cours de français de trois mois dès avril 2010. Toutefois, sans être contredit par la recourante, le SPOP objecte que l'école dispensant ces cours de français n'est pas reconnue, si bien que les conditions de l'art. 24 OASA ne sont toujours pas remplies à cet égard. A cela s'ajoute encore que la sortie de Suisse de la recourante n'est plus assurée, vu les circonstances. Au contraire, il résulte de son écriture du 12 mai 2010 qu'elle entend se marier et s'établir à 5.********, contrairement à ce qu'elle affirmait encore le 11 mars 2010. Il n'y a dès lors pas lieu d'accorder à la recourante la prolongation de son autorisation de séjour pour études. La décision attaquée, qui ne viole pas le droit fédéral, ni ne procède d'un abus du pouvoir d'appréciation de l'autorité intimée, doit être confirmée. Enfin, la requête d' " autorisation de sortie de Suisse ", respectivement de " visa " présentée ce jour par la recourante pour se rendre en Roumanie afin de participer, le 10 juin 2010, à la cérémonie de prestation du serment d'allégeance envers ce pays, qui lui aurait accordé la nationalité, ne conduit pas à une autre conclusion en l'état. 3. Les considérants qui précèdent conduisent au rejet du recours aux frais de la recourante. Vu l'issue du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