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PE.2010.0032 vom 1. März 2011</w:t>
      </w:r>
    </w:p>
    <w:p>
      <w:r>
        <w:t>VD Tribunal cantonal, 2011-03-01, FR</w:t>
      </w:r>
    </w:p>
    <w:p>
      <w:r>
        <w:rPr>
          <w:b/>
        </w:rPr>
        <w:t xml:space="preserve">Quelle: </w:t>
      </w:r>
      <w:r>
        <w:t>https://mcp.opencaselaw.ch/entscheid/vd_omni_PE.2010.0032</w:t>
      </w:r>
    </w:p>
    <w:p>
      <w:r>
        <w:t>FR: VD_OMNI PE.2010.0032 du 1 mars 2011</w:t>
      </w:r>
    </w:p>
    <w:p>
      <w:r>
        <w:t>IT: VD_OMNI PE.2010.0032 del 1 marzo 2011</w:t>
      </w:r>
    </w:p>
    <w:p>
      <w:pPr>
        <w:pStyle w:val="Heading2"/>
      </w:pPr>
      <w:r>
        <w:t>Regeste</w:t>
      </w:r>
    </w:p>
    <w:p>
      <w:r>
        <w:t>X. c/Service de la population (SPOP) | Confirmation du refus d'autorisation de séjour pour un ressortissant tunisien âgé de 39 ans qui ne se trouve pas dans un cas d'extrême gravité: durée de séjour brève (un peu plus de deux ans), pas d'enfant issu de son union conjugale ayant duré moins de trois mois, attaches familiales et culturelles dans son pays d'origine, pas de qualifications professionnelles particulières. Le fait que le recourant souffre d'un diabète de type 1 n'y change rien: il n'est pas établi qu'il n'existe pas en Tunisie d'établissement hospitalier à même de lui prodiguer un traitement à l'insuline ainsi qu'un suivi adéquat. Recours au TF rejeté dans la mesure de sa recevabilité (arrêt 2C_300/2011 du 14 novembre 2011).</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de la Constitution fédérale de la Confédération suisse du 18 avril 1999 (Cst.; RS 101) comprend notamment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p. 540 ; 129 I 232 consid. 3.2 p. 236).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125 II 369 consid. 2c p. 372). b) Le tribunal reconnaît qu'il est possible que l'argumentation fournie par l’autorité intimée soit quelque peu limitée. Toutefois, s’il est vrai que la décision querellée ne mentionne pas expressément tous les moyens préalablement invoqués par le recourant, elle s’y rapporte implicitement. Il ressort en effet de cette décision que l'autorité intimée a tenu compte des éléments soulevés par le recourant puisqu'elle mentionne que la décision a été prise en application de l'art. 42 a contrario et 50 LEtr. En outre, cette motivation, même succincte, n’a pas empêché le recourant de saisir le sens de la décision attaquée et de développer adéquatement ses moyens dans le cadre du présent recours. Partant, ces considérations suffisent pour entraîner le rejet du grief de violation du droit d’être entendu.</w:t>
      </w:r>
    </w:p>
    <w:p>
      <w:r>
        <w:rPr>
          <w:b/>
        </w:rPr>
        <w:t>E. 3</w:t>
      </w:r>
    </w:p>
    <w:p>
      <w:r>
        <w:t>a) Selon l’art. 42 LEtr,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b) En l’occurrence, le recourant admet qu’il ne vit plus avec son épouse. Certes, il a affirmé à l'occasion de son audition qu'ils n'avaient " de cesse d'essayer de reprendre la vie commune " et a écrit dans son acte de recours que selon lui son épouse croyait également que la vie commune allait reprendre " sinon elle aurait déjà demandé le divorce "; cependant, son épouse a au contraire affirmé à l'occasion de son audition que si elle n'avait pas encore entrepris les démarches en vue d'un divorce, " il [était] clair [qu'elle allait] divorcer de [son] mari, car [elle] ne [voulait] plus vivre avec lui ". En outre, il ressort du rapport établi par la Police municipale de 1******** que le recourant ignore que son épouse a quitté la ville où ils s'étaient établis conjointement lorsque le recourant est arrivé en Suisse et où elle est demeurée dans un premier temps après que leur vie conjugale ait pris fin, et qu'elle a pris un nouveau domicile dans une autre ville; l'épouse du recourant a également affirmé à l'occasion de son audition qu'elle ne s'opposerait pas au renvoi de l'intéressé et que " tout ce [qu'elle demandait], [c'était] de ne plus vivre avec lui et qu'il [la] laisse tranquille ", excluant de la sorte toute éventualité de reprise de la vie commune. Ces éléments démontrent l'absence non seulement de communauté familiale mais également de contacts entre les intéressés et confirment l'absence de perspective à la reprise de la vie commune. Il en résulte que les conditions posées par les art. 42 et 49 LEtr à l'octroi d'une autorisation de séjour ne sont actuellement pas remplies.</w:t>
      </w:r>
    </w:p>
    <w:p>
      <w:r>
        <w:rPr>
          <w:b/>
        </w:rPr>
        <w:t>E. 4</w:t>
      </w:r>
    </w:p>
    <w:p>
      <w:r>
        <w:t>a) Un étranger peut se prévaloir de la protection de la vie familiale découlant de l’art. 8 de la Convention du 4 novembre 1950 de sauvegarde des droits de l’homme et des libertés fondamentales (CEDH; RS 0.101)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 145 s.; 130 II 281 consid. 3.1 p. 285). Les relations familiales qui peuvent fonder, en vertu de l’art. 8 par. 1 CEDH, un droit à une autorisation de police des étrangers sont avant tout les rapports entre époux ainsi qu’entre parents et enfants mineurs vivant ensemble (ATF 2C_508/2009 du 20 mai 2010 consid. 2.2; 127 II 60 consid. 1d/aa p. 64 s.; 120 Ib 257 consid. 1d p. 261). b) En l'occurrence, le recourant et son épouse n'entretiennent plus de communauté conjugale ou vie commune. On ne peut ainsi qualifier leur relation d' étroite et effective. Partant, c'est à tort que le recourant se prévaut de la protection de la vie familiale découlant de l'art. 8 CEDH et ce grief doit être rejeté.</w:t>
      </w:r>
    </w:p>
    <w:p>
      <w:r>
        <w:rPr>
          <w:b/>
        </w:rPr>
        <w:t>E. 5</w:t>
      </w:r>
    </w:p>
    <w:p>
      <w:r>
        <w:t>Il reste encore à examiner si, nonobstant cette situation, le recourant peut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Les raisons personnelles majeures visées à l’al. 1, let. b, sont notamment données lorsque le conjoint est victime de violence conjugale et que la réintégration sociale dans le pays de provenance semble fortement compromise (art. 50 al. 2 LEtr et 77 al. 2 de l' ordonnance du 24 octobre 2007 relative à l'admission, au séjour et à l'exercice d'une activité lucrative [ OASA; RS 142.201 ] ). En outre, p our interpréter la notion de "raisons personnelles majeures", on peut se référer à la jurisprudence développée sous l’empire de l’ancien art. 13 f de l'ordonnance du 6 octobre 1986 limitant le nombre des étrangers (OLE), en vigueur jusqu’au 31 décembre 2007, qui concernait les autorisations de séjour pouvant être délivrées " dans un cas personnel d'extrême gravité ou en raison de considérations de politique générale " ( cf. arrêt PE.2008.0342 du 18 mars 2009). Cela étant, l a jurisprudence n'admet que restrictivement l'existence d'un cas personnel d'extrême gravité (art. 31 al. 1 OASA) .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 s.; ATF 128 II 200 consid. 4 p. 207 s. et les références citées). Parmi les éléments jouant un r¿e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b) S'agissant de l'état de santé, les directives de l’Office fédéral des migrations relatives à la pratique concernant la réglementation du séjour des étrangers dans les cas personnels d’extrême gravité (état au 1 er juillet 2009) précisent ce qui suit (I. Domaine des étrangers, ch.5.6.4.6): " Etat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Ainsi que le relève la jurisprudence, des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PE.2009.0561 du 30 novembre 2009 consid. 4a; PE.2006.0661 du 27 avril 2007). c) En l'occurrence, le recourant a fait vie commune en Suisse avec son épouse durant moins de trois ans (moins de trois mois, entre l'arrivée en Suisse le 12 juillet 2008 et la séparation de fait intervenue le 5 octobre 2008), de sorte que seule une situation personnelle d'extrême gravité au sens de l'art. 31 al. 1 OASA pourrait justifier qu'une autorisation de séjour lui soit délivrée. Le recourant est arrivé en Suisse au mois de juillet 2008, ce qui porte la durée de son séjour en Suisse à un peu plus de deux ans; une telle durée ne peut manifestement pas être considérée comme très longue. Le temps passé en Suisse doit par ailleurs être relativisé en comparaison des nombreuses années que le recourant a passées en Tunisie, pays dans lequel il est né et où il a notamment vécu son enfance, son adolescence et une grande partie de sa vie d'adulte, étant arrivé en Suisse à l'âge de 37 ans. Le recourant n'a pas d'enfant et toute sa famille vit en Tunisie, à l'exception d'un frère et de l'épouse de celui-ci qui demeurent en Suisse; il ne peut dès lors se prévaloir d'attaches particulièrement étroites avec la Suisse. Selon l'épouse du recourant, celui-ci ne fréquente que des amis tunisiens. Certes, il a occupé un poste à temps plein en qualité de serveur auprès de l'hôtel-restaurant A.________ à 3********, ne fait pas l'objet de poursuites et présente un casier judiciaire vierge. Ces éléments ne témoignent cependant pas d'une intégration particulièrement réussie; le poste qu'il a occupé ne constitue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C-491/2008 du 9 février 2009). Il a du reste selon ses affirmations exercé la même profession en Tunisie. A cela s'ajoute que la réintégration sociale du recourant en Tunisie, qu'il a quittée il y a un peu plus de deux ans à l'âge de 37 ans, ne semble guère compromise. On ne retire en tout cas pas des généralités dont il fait état sur la situation économique de la Tunisie que ses conditions de vie après un retour au pays soient mises en cause de manière accrue et comporteraient pour lui des conséquences particulièrement graves, et ce malgré les récents événements qui s'y sont déroulés, au point de justifier son maintien en Suisse par un cas personnel d'extrême gravité. d) En outre, on parvient à la même conclusion s’agissant des problèmes de santé que le recourant invoque; on relève ainsi que celui-ci ne se trouve pas dans un état de santé qui exigerait la poursuite de son séjour en Suisse pour des raisons médicales. Il n'établit pas à satisfaction de droit que les affections dont il souffre (diabète de type 1 et infection au pied, pour laquelle il semble avoir été traité au Centre hospitalier universitaire vaudois [ci-après: CHUV ] ) exigent un traitement qui serait indisponible dans le pays d'origine, de sorte qu'un départ de Suisse serait susceptible d'entraîner de graves conséquences pour sa santé. Concernant l'infection au pied, le dernier certificat médical produit par le recourant atteste que ce dernier a pu reprendre son activité professionnelle à 50% dès le 1 er novembre 2009, soit il y a plus d'un an; pour le reste, il n'allègue pas être toujours en incapacité de travail à 50% et nécessiter encore un traitement médical pour cette affection. En outre, bien qu'il fasse valoir qu'il n'existe pas en Tunisie d'insuline adaptée à son type de diabète " selon un contact avec un médecin sur place ", il ne produit aucune pièce attestant de ce fait. S'il déclare bénéficier d'un suivi médical soutenu au CHUV à Lausanne pour cette affection, il ne produit qu'un seul certificat médical émanant d'un médecin exerçant à 2******** et non dans l'établissement hospitalier précité; on rappelle que ce certificat atteste que l'intéressé est suivi " pour un diabète de type 1 qui nécessite la vie durant un traitement à l'insuline, et a besoin de contrôles réguliers, p.ex. tous les 3 mois ". Enfin, il n'est pas établi qu'il n'existe pas en Tunisie d'établissements hospitaliers à même de réaliser un tel suivi et ce fait paraît du reste peu probable; en outre, le diabète de type 1 n'est pas une affectation extrêmement rare qui ne pourrait être soignée qu'en Suisse. Que le recourant puisse peut-être obtenir en Suisse des prestations médicales de meilleure qualité ne constitue pas une raison majeure d'autoriser la poursuite de son séjour dans ce pays. Ce grief doit dès lors être rejeté.</w:t>
      </w:r>
    </w:p>
    <w:p>
      <w:r>
        <w:rPr>
          <w:b/>
        </w:rPr>
        <w:t>E. 6</w:t>
      </w:r>
    </w:p>
    <w:p>
      <w:r>
        <w:t>Le recourant fait également valoir que son renvoi serait contraire à l’art. 3 CEDH qui dispose que nul ne peut être soumis à la torture ni à des peines ou traitements inhumains ou dégradants. Cette disposition recouvre les difficultés à bénéficier des soins médicaux (ATF 2A.28/2004 du 7 mai 2004 consid. 3.6 in fine; 2A.214/2002 du 23 août 2002 consid. 3.6; CourEDH, arrêt D. c. Royaume-Uni du 2 mai 1997, Recueil 1997 III p. 777 ss). a) Pour tomber sous le coup de l’art. 3 CEDH, un mauvais traitement doit atteindre un minimum de gravité. L’appréciation de ce minimum dépend de l’ensemble des données de la cause (ATF 134 I 221).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précité § 91). Il faut des motifs sérieux et avérés de croire que l'intéressé, si on l'expulse vers le pays de destination, y courra un risque réel d'être soumis à un traitement contraire à l'art. 3 CEDH (CourEDH, arrêt N. c. Royaume-Uni du 27 mai 2008, affaire no 26565/05 § 30). La Cour européenne des droits de l'homme exige un seuil de gravité élevé pour que l'état de santé d'une personne lui permette de s'opposer à son expulsion (arrêt Emre précité § 92; arrêt N. c. Royaume-Uni précité § 42 ainsi que § 32 ss énumérant la jurisprudence de la Cour relative à l'art. 3 et à l'expulsion de personnes gravement malades) (cf. ATF 2D_67/2009 du 4 février 2010 consid. 6.1). b) En l’occurrence, il est établi que le recourant souffre d'un diabète de type 1, soit un problème de santé relativement grave qui nécessitera un traitement à l'insuline sa vie durant. Le recourant n'a toutefois pas établi que ce médicament serait indisponible en Tunisie ou même produit de pièce tendant à l'attester, ni qu'il n'y aurait en Tunisie aucun établissement hospitalier à même de réaliser un suivi médical de son affection; comme exposé ci-dessus, ce fait paraît du reste peu probable. Dans le cas d’espèce, les problèmes de santé du recourant n’atteignent donc pas le degré de gravité requis pour que le renvoi se heurte à l’art. 3 CEDH et ce grief doit également être rejeté.</w:t>
      </w:r>
    </w:p>
    <w:p>
      <w:r>
        <w:rPr>
          <w:b/>
        </w:rPr>
        <w:t>E. 7</w:t>
      </w:r>
    </w:p>
    <w:p>
      <w:r>
        <w:t>Enfin, le recourant conclut à l'octroi d'un délai d'une année " pour pouvoir [s]'organiser et régler le maximum de choses de [sa] vie en Suisse (…) "; il ne précise toutefois pas la disposition sur laquelle il se fonde. Or, la LEtr ne prévoit aucun droit à un tel délai ou type de séjour et il n'y a pas lieu d'octroyer au recourant quelque autorisation de séjour que ce soit, comme vu ci-dessus. Ce grief est dès lors mal fondé et doit être rejeté.</w:t>
      </w:r>
    </w:p>
    <w:p>
      <w:r>
        <w:rPr>
          <w:b/>
        </w:rPr>
        <w:t>E. 8</w:t>
      </w:r>
    </w:p>
    <w:p>
      <w:r>
        <w:t>Les considérants qui précèdent conduisent au rejet du recours et à la confirmation de la décision attaquée.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