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PE.2009.0674 vom 25. März 2010</w:t>
      </w:r>
    </w:p>
    <w:p>
      <w:r>
        <w:t>VD Tribunal cantonal, 2010-03-25, FR</w:t>
      </w:r>
    </w:p>
    <w:p>
      <w:r>
        <w:rPr>
          <w:b/>
        </w:rPr>
        <w:t xml:space="preserve">Quelle: </w:t>
      </w:r>
      <w:r>
        <w:t>https://mcp.opencaselaw.ch/entscheid/vd_omni_PE.2009.0674</w:t>
      </w:r>
    </w:p>
    <w:p>
      <w:r>
        <w:t>FR: VD_OMNI PE.2009.0674 du 25 mars 2010</w:t>
      </w:r>
    </w:p>
    <w:p>
      <w:r>
        <w:t>IT: VD_OMNI PE.2009.0674 del 25 marzo 2010</w:t>
      </w:r>
    </w:p>
    <w:p>
      <w:pPr>
        <w:pStyle w:val="Heading2"/>
      </w:pPr>
      <w:r>
        <w:t>Regeste</w:t>
      </w:r>
    </w:p>
    <w:p>
      <w:r>
        <w:t>X.________ Sàrl/Service de l'emploi | Le défaut d'annonce de plusieurs travailleurs détachés par une société française à l'occasion du Comptoir suisse 2009 justifie le prononcé d'une amende de 2'000 fr. Recours rejeté.</w:t>
      </w:r>
    </w:p>
    <w:p>
      <w:pPr>
        <w:pStyle w:val="Heading2"/>
      </w:pPr>
      <w:r>
        <w:t>Erwägungen</w:t>
      </w:r>
    </w:p>
    <w:p>
      <w:r>
        <w:rPr>
          <w:b/>
        </w:rPr>
        <w:t>E. 1</w:t>
      </w:r>
    </w:p>
    <w:p>
      <w:r>
        <w:t>L'autorité intimée a sanctionné la recourante pour avoir détaché en Suisse six employés sans les avoir annoncés au préalable. La recourante reconnaît les faits tout en invoquant son ignorance de la procédure à suivre et invoque la clémence du tribunal.</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w:t>
      </w:r>
    </w:p>
    <w:p>
      <w:r>
        <w:rPr>
          <w:b/>
        </w:rPr>
        <w:t>E. 4</w:t>
      </w:r>
    </w:p>
    <w:p>
      <w:r>
        <w:t>Les considérants qui précèdent conduisent au rejet du recours aux frais de la recourante qui succombe (art. 49 al. 1 de la loi sur la procédure administrative (LPA; RSV 173.36) du 28 octobre 2008).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