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PE.2009.0655 vom 12. Januar 2010</w:t>
      </w:r>
    </w:p>
    <w:p>
      <w:r>
        <w:t>VD Tribunal cantonal, 2010-01-12, FR</w:t>
      </w:r>
    </w:p>
    <w:p>
      <w:r>
        <w:rPr>
          <w:b/>
        </w:rPr>
        <w:t xml:space="preserve">Quelle: </w:t>
      </w:r>
      <w:r>
        <w:t>https://mcp.opencaselaw.ch/entscheid/vd_omni_PE.2009.0655</w:t>
      </w:r>
    </w:p>
    <w:p>
      <w:r>
        <w:t>FR: VD_OMNI PE.2009.0655 du 12 janvier 2010</w:t>
      </w:r>
    </w:p>
    <w:p>
      <w:r>
        <w:t>IT: VD_OMNI PE.2009.0655 del 12 gennaio 2010</w:t>
      </w:r>
    </w:p>
    <w:p>
      <w:pPr>
        <w:pStyle w:val="Heading2"/>
      </w:pPr>
      <w:r>
        <w:t>Regeste</w:t>
      </w:r>
    </w:p>
    <w:p>
      <w:r>
        <w:t>X c/Service de la population (SPOP) | Arrêt de la section radiant la cause du rôle en raison du retrait du recours et infligeant une amende disciplinaire selon l'art. 39 LPA-VD au recourant et à son mandataire pour avoir engagé une procédure téméraire, le recours ayant été déposé sur un litige déjà tranché à de multiples reprises (5 requêtes de réexamen et 2 recours) sans qu'un élément nouveau ne justifie une nouvelle procédure. A lui seul, le retrait du recours à la suite du refus de l'effet suspensif et d'une interpellation sur une éventuelle application de l'art. 39 LPA-VD ne permet pas aux intéressés d'échapper à cette disposition.</w:t>
      </w:r>
    </w:p>
    <w:p>
      <w:pPr>
        <w:pStyle w:val="Heading2"/>
      </w:pPr>
      <w:r>
        <w:t>Erwägungen</w:t>
      </w:r>
    </w:p>
    <w:p>
      <w:r>
        <w:rPr>
          <w:b/>
        </w:rPr>
        <w:t>E. 1</w:t>
      </w:r>
    </w:p>
    <w:p>
      <w:r>
        <w:t>Le recourant ayant retiré le recours, il doit être mis fin à la procédure. La cause doit ainsi être rayée du rôle et il doit être statué sur les frais et dépens. Selon l'art. 94 al. 1 let. c LPA-VD, un membre du Tribunal cantonal statue en tant que juge unique pour rayer la cause du rôle. L'alinéa 3 de cette disposition précise que le juge peut soumettre la cause à la Cour si l'affaire présente une certaine complexité. Tel est le cas en l'occurrence, dès lors qu'il s'agit de statuer non seulement sur la question des frais et dépens, mais encore sur le prononcé d'une amende au sens de l'art. 39 LPA-VD à l'encontre du recourant et de son mandataire. A cet égard, on précisera d'une part que l'examen de la témérité de la demande exige une appréciation de la cause au fond et, d'autre part, qu'à lui seul, le retrait du recours à la suite du refus de l'effet suspensif et d'une interpellation relative à une éventuelle application de l'art. 39 LPA-VD ne permet pas aux intéressés d'échapper à cette disposition.</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La présente demande de réexamen portait sur la décision du SPOP du 29 mai 2006 confirmée par l'arrêt du Tribunal administratif du 20 décembre 2006 selon lequel, en particulier, le recourant ne se trouve pas dans un cas de rigueur. Dans son recours, désormais retiré, le mandataire du recourant indiquait que son client vivait en Suisse depuis un nombre d'années appréciables, qu'il avait perdu son titre de séjour du fait de la séparation d'avec son épouse, que ce n'était que maintenant que celle-ci avait ouvert action en divorce, " que pour faire valoir ses droits, le recourant doit impérativement continuer à séjourner dans le canton, du moins jusqu'à l'issue de cette procédure ," qu'il paraissait être un excellent travailleur, ainsi que l'attestait un courrier de son employeur du 14 août 2009, qu'il n'avait plus de famille dans son Kosovo d'origine, et " que notamment eu égard à la procédure en divorce initiée par son épouse, le SPOP aurait dû considérer que le recourant pouvait faire valoir un élément nouveau ". Le mandataire du recourant s'est ainsi essentiellement borné à répéter des arguments déjà maintes fois écartés. Pour le surplus, selon une jurisprudence constante (notamment ATF 2C_138/2007 du 17 août 2007 consid. 4; 2A.767/2006 du 26 février 2007 consid. 4.3, 2A.30/2006 du 16 février 2006 consid. 3.3; PE.2008.0259 du 12 août 2009; PE.2005.0579 du 26 janvier 2006), l'ouverture d'une procédure en divorce ne constitue pas, sous réserve d'arguments particuliers, un élément susceptible d'obliger les autorités à prolonger l'autorisation de séjour d'un étranger pour lui permettre de défendre ses droits. En l'espèce, le mandataire du recourant s'est contenté, ainsi qu'en attestent ses citations exposées au paragraphe précédent, exhaustives sur ce point, d'évoquer l'existence de la procédure en cause, ce qui n'est à l'évidence pas susceptible de conduire les autorités à revoir leur refus d'une autorisation de séjour. Dans ces conditions, ce conseil n'a soulevé manifestement aucun élément nouveau, ni au sens de la jurisprudence, ni au sens du nouvel art. 64 LPA-VD.</w:t>
      </w:r>
    </w:p>
    <w:p>
      <w:r>
        <w:rPr>
          <w:b/>
        </w:rPr>
        <w:t>E. 3</w:t>
      </w:r>
    </w:p>
    <w:p>
      <w:r>
        <w:t>Selon l'art. 39 LPA-VD, " quiconque engage une procédure téméraire, use de procédés abusifs ou perturbe l'avancement d'une procédure est passible d'une amende de 1'000 francs au plus et, en cas de récidive, de 3'000 fr. au plus ." Dans son exposé des motifs et projet de lois sur la procédure administrative de mai 2008 (n° 81), le Conseil d'Etat a précisé que cette disposition a pour but d'éviter les requêtes et procédés dilatoires, susceptibles d’engorger les autorités (p. 29). Elle correspond du reste à l'art. 33 al. 2 de la loi du 17 juin 2005 sur le Tribunal fédéral (LTF; RS 173.110), selon lequel " la partie ou son mandataire qui use de mauvaise foi ou de procédés téméraires est passible d’une amende d’ordre de 2000 francs au plus, voire de 5000 francs au plus en cas de récidive " (cf. par exemple, sous l'angle de l'art. 31 aOJ, ATF 1P.721/2000, 6A.36/2001). Le recourant a déposé trois demandes de réexamen les 28 février 2007,</w:t>
      </w:r>
    </w:p>
    <w:p>
      <w:r>
        <w:rPr>
          <w:b/>
        </w:rPr>
        <w:t>E. 5</w:t>
      </w:r>
    </w:p>
    <w:p>
      <w:r>
        <w:t>juin 2007 et 16 janvier 2008, toutes écartées par le SPOP, étant précisé que le recours formé personnellement par le recourant contre le troisième refus a été déclaré irrecevable par le Tribunal cantonal le 21 avril 2008, faute d'avance de frais, un émolument judicaire étant néanmoins mis à la charge du recourant, qui avait procédé de manière abusive (PE.2008.0090). Cela n'a pas empêché Me B.Y.________ de déposer une quatrième demande de réexamen le 22 décembre 2008, déclarée irrecevable, ni même de recourir contre cette décision d'irrecevabilité. Ce recours a été écarté par le Tribunal cantonal le 27 février 2009 (PE.2009.0056), lequel a alors indiqué que le recours " confine - pour le moins - à la témérité " et expressément attiré l'attention du recourant et celle de son mandataire sur l'existence du nouvel art. 39 LPA-VD. Le recourant a formé lui-même une cinquième demande de réexamen le 29 mai 2009, déclarée irrecevable le 30 juin suivant. Il a recommencé par l'intermédiaire de son employeur les 14 et 26 août 2009, en vain au vu de la réponse négative du SPOP du 16 septembre 2009. Me B.Y.________ n'a pas hésité à former une sixième demande de réexamen (sans compter la requête de l'employeur), écartée par le SPOP, ni à contester ce refus par la présente procédure. Dans ces conditions, le présent recours - soit le troisième - déposé sur un litige déjà tranché à de multiples reprises sans qu'un élément nouveau ne justifie une nouvelle requête, a dépassé les limites de la témérité. Afin de respecter leur droit d'être entendu, le tribunal a interpellé le recourant et Me B.Y.________ sur une éventuelle application de l'art. 39 LPA-VD (cf. ATF 6A.82/2001 du 18 septembre 2001 consid. 1b, statuant sur une demande de réexamen de l'amende infligée au terme de l'ATF 6A.36/2001 du 19 juin 2001; Florence Aubry Girardin, in Commentaire de la LTF, Berne 2009, n° 9 ad art. 33; Matthias Härri, in Basler Kommentar, Bundesgerichtsgesetz, Bâle 2008, n os 3 et 23 ad art. 33). Me B.Y.________ s'est exprimé hors délai, le 6 janvier 2010. L'explication qu'il avance au sujet de ce retard  - soit le fait que cette interpellation se trouvait à la deuxième page de l'avis du 16 décembre 2009 - n'établit à l'évidence pas qu'il aurait été empêché sans faute de sa part d'agir à temps, de sorte que le délai ne peut être restitué (cf. art. 22 LPA-VD). De toute façon, les déterminations du 6 janvier 2010 ne conduisent pas à renoncer à l'amende en cause. Selon celles-ci en effet, " le recours de A.X.________ ne tendait qu'à obtenir une prolongation de séjour de quelques mois, ce dans le but de faire valoir ses droits dans la procédure en divorce initiée par son épouse le 12 novembre 2009. Etant donné que tout un chacun devrait avoir le droit de faire valoir personnellement et de visu son point de vue devant le Juge du divorce, on [ne] saurait réellement soutenir qu'une telle démarche procède de la témérité. " Ces déterminations n'apportent ainsi aucun élément nouveau propre à légitimer le dépôt du présent recours; au contraire, elles tendent à confirmer le caractère dilatoire et abusif de celui-ci. En application de l'art. 39 LPA-VD, il sied ainsi de condamner Me B.Y.________ à une amende, dont le montant sera fixé à 500 fr. Un avertissement formel - non prévu par l'art. 39 LPA-VD mais qui devrait être possible sous l'angle du principe de la proportionnalité et du principe " qui peut le plus, peut le moins " - serait manifestement inutile. Il convient également de condamner le recourant personnellement qui, au fil du temps, agissant seul, ou par l'intermédiaire de ses mandataires, notamment d'un employeur, s'est obstiné à user de tous les moyens pour se soustraire aux multiples refus et ordres de départ qui lui ont été signifiés. L'amende sera arrêtée à 300 fr. 4. Vu ce qui précède, le recours doit être radié du rôle. Un plein émolument judiciaire est mis à la charge du recourant, qui n'a pas droit à des dépens. Des amendes au sens de l'art. 39 LPA-VD sont infligées au recourant et à son mandataire. Le présent arrêt sera notifié séparément à Me B.Y.________ et au recourant. Il sera communiqué également à la Chambre des avocats, conformément à l'art. 15 al. 1 de la loi fédérale du 23 juin 2000 sur la libre circulation des avocats (loi sur les avocats; LLCA; RSV 935.61), selon lequel les autorités judiciaires et administratives cantonales annoncent sans retard à l’autorité de surveillance de leur canton le défaut d’une condition personnelle au sens de l’art. 8, ou les faits susceptibles de constituer une violation des règles professionnelles (voir aussi Matthias Härri, op. cit., n os 32 s. ad art.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