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PE.2009.0639 vom 19. Januar 2010</w:t>
      </w:r>
    </w:p>
    <w:p>
      <w:r>
        <w:t>VD Tribunal cantonal, 2010-01-19, FR</w:t>
      </w:r>
    </w:p>
    <w:p>
      <w:r>
        <w:rPr>
          <w:b/>
        </w:rPr>
        <w:t xml:space="preserve">Quelle: </w:t>
      </w:r>
      <w:r>
        <w:t>https://mcp.opencaselaw.ch/entscheid/vd_omni_PE.2009.0639</w:t>
      </w:r>
    </w:p>
    <w:p>
      <w:r>
        <w:t>FR: VD_OMNI PE.2009.0639 du 19 janvier 2010</w:t>
      </w:r>
    </w:p>
    <w:p>
      <w:r>
        <w:t>IT: VD_OMNI PE.2009.0639 del 19 gennaio 2010</w:t>
      </w:r>
    </w:p>
    <w:p>
      <w:pPr>
        <w:pStyle w:val="Heading2"/>
      </w:pPr>
      <w:r>
        <w:t>Regeste</w:t>
      </w:r>
    </w:p>
    <w:p>
      <w:r>
        <w:t>A.X.________ c/Service de la population (SPOP) | Confirmation du refus d'une autorisation de séjour pour études, s'agissant d'une ressortissante iranienne âgée de 34 ans, titulaire d'un diplôme de droit international obtenu dans son pays, et qui souhaite étudier à l'Université de Lausanne, en vue d'obtenir une maîtrise en droit, puis un doctorat en droit. Les documents requis selon l'art. 27 LEtr et 23 OASA n'ont pas été fournis. En outre, compte tenu de la longueur des études projetées (huit ans, soit deux pour la maîtrise et six pour la thèse), ainsi que de l'âge de la recourante, il y a fort à craindre que celle-ci ne retourne pas dans son pays, quoiqu'elle en dise.</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Des dérogations ne sont possibles que dans des cas dûment motivés.</w:t>
      </w:r>
    </w:p>
    <w:p>
      <w:r>
        <w:rPr>
          <w:b/>
        </w:rPr>
        <w:t>E. 4</w:t>
      </w:r>
    </w:p>
    <w:p>
      <w:r>
        <w:t>L’exercice d’une activité lucrative se fonde sur les art. 38 à 40. Il ressort en outre des directives édictées par l'Office des migrations (ci-après: ODM) concernant le séjour des étrangers, plus spécialement de leur chapitre 5, point 5.1 (état au 1 er juillet 2009) intitulé "formation et perfectionnement" qu'au vu du nombre important d'étrangers demandant à être admis en Suisse pour y effectuer une formation, les conditions fixées aux art. 27 LEtr et 23ss OASA doivent être respectées de manière rigoureuse. Ces directives précisent en outre que, sous réserve de circonstances particulières, les personnes de plus de trente ans ne peuvent en principe se voir attribuer une autorisation de séjour pour se former ou se perfectionner (cf. ATAF C-482/2006 du 27 février 2008). Ce critère de l’âge tend à privilégier les étudiants plus jeunes qui ont un intérêt plus immédiat à suivre une formation que ceux, plus âgés, disposent d’une formation suffisante pour accéder au marché du travail (cf. en dernier lieu arrêt PE.2009.0204 du 13 novembre 2009, et les références cités). Il est appliqué avec nuance et retenue lorsqu’il s’agit notamment d’études post-grade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(arrêt PE.2009.0204, précité). b) En l’occurrence, la recourante n’a pas produit les renseignements propres à confirmer que les conditions de l’art. 27 al. 1 let. a, b et c LEtr, mis en relation avec l’art. 23 al. 1 let. a, b et c OASA sont remplies. L’Université de 4.******** n’a confirmé l’inscription de la recourante, ni sa capacité à suivre le cursus dans lequel elle souhaite s’engager. De même, on ignore si la recourante dispose des moyens financiers suffisants pour assurer une formation de longue haleine (deux ans pour la maîtrise et six ans au maximum pour un doctorat). Or, dans cette perspective lointaine, la recourante serait âgée de quarante-deux ans à la fin de ses études. Cela accroît le risque qu’au terme d’une période aussi longue, la sortie de Suisse ne soit plus assurée, nonobstant le patriotisme affirmé de la recourante. Même s’il n’y a pas lieu de douter de la sincérité de la recourante, son projet paraît quelque peu irréaliste. A cela s’ajoute qu’elle dispose déjà d’une formation universitaire obtenue dans son pays, qui lui a permis d’obtenir un emploi. Il n’existe dès lors pas de motifs de lui accorder une autorisation de séjour pour études, compte tenu également de son âge, et de celui, prévisible, qui sera le sien au terme des études qu’elle envisage de faire. 2. Le recours doit ainsi être rejeté, et la décision attaquée confirmée. Les frais sont mis à la charge de la recourante (art. 49 LPA-VD). L’allocation de dépens n’entre pas en ligne de compte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