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PE.2009.0630 vom 5. Juli 2010</w:t>
      </w:r>
    </w:p>
    <w:p>
      <w:r>
        <w:t>VD Tribunal cantonal, 2010-07-05, FR</w:t>
      </w:r>
    </w:p>
    <w:p>
      <w:r>
        <w:rPr>
          <w:b/>
        </w:rPr>
        <w:t xml:space="preserve">Quelle: </w:t>
      </w:r>
      <w:r>
        <w:t>https://mcp.opencaselaw.ch/entscheid/vd_omni_PE.2009.0630</w:t>
      </w:r>
    </w:p>
    <w:p>
      <w:r>
        <w:t>FR: VD_OMNI PE.2009.0630 du 5 juillet 2010</w:t>
      </w:r>
    </w:p>
    <w:p>
      <w:r>
        <w:t>IT: VD_OMNI PE.2009.0630 del 5 luglio 2010</w:t>
      </w:r>
    </w:p>
    <w:p>
      <w:pPr>
        <w:pStyle w:val="Heading2"/>
      </w:pPr>
      <w:r>
        <w:t>Regeste</w:t>
      </w:r>
    </w:p>
    <w:p>
      <w:r>
        <w:t>X.________ SA c/Service de l'emploi | Dans la mesure où il a été dûment constaté que la recourante avait engagé deux ressortissants étrangers dépourvus d'autorisation de séjour en Suisse, l'autorité intimée était en droit de la sommer de respecter les prescriptions en matière d'engagement de main d'oeuvre étrangère. Recours rejeté.</w:t>
      </w:r>
    </w:p>
    <w:p>
      <w:pPr>
        <w:pStyle w:val="Heading2"/>
      </w:pPr>
      <w:r>
        <w:t>Erwägungen</w:t>
      </w:r>
    </w:p>
    <w:p>
      <w:r>
        <w:rPr>
          <w:b/>
        </w:rPr>
        <w:t>E. 1</w:t>
      </w:r>
    </w:p>
    <w:p>
      <w:r>
        <w:t>En premier lieu, la recourante requiert la suspension de la présente cause dans l'attente de l'issue de la procédure pénale. Il ressort cependant du dossier que deux des trois personnes mises en cause suite à l'interpellation de deux ressortissants chinois le 28 mai 2009 dans le restaurant C.________ ont d'ores et déjà fait l'objet d'une condamnation pénale. Le Préfet de Broye-Vully les a en effet reconnu coupables d'infraction à la législation sur les étrangers par prononcés des 1 er juillet respectivement 20 novembre 2009 entrés en force depuis lors. La recourante persiste toutefois à contester les faits qui lui sont reprochés et qui ont conduit l'autorité intimée à rendre la décision attaquée. a) Selon la jurisprudence rendue en matière de circulation routière,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arrêt du Tribunal fédéral 1C.29/2007 du 27 août 2007 consid. 3.1; ATF 123 II 97 consid. 3c/aa p. 104; 119 Ib 158 consid. 3c/aa p. 164; 105 Ib 18 consid. 1a p. 19; 101 Ib 270 consid. 1b p. 273 s.; 96 I 766 consid. 5 p. 774 s.).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arrêt du Tribunal fédéral 1C.29/2007 du 27 août 2007 consid. 3.1; ATF 123 II 97 consid. 3c/aa p. 104; 121 II 214 consid. 3a p. 217 s.). Bien qu'élaborée en matière de circulation routière, l'application de cette jurisprudence dans d'autres domaines du droit administratif, tel que la police des étrangers, se justifie (cf. à cet égard ATF 129 II 312 consid. 2.4 p. 315 qui applique par analogie la jurisprudence précitée à un cas concernant l'aide aux victimes d'infractions). b) En l'espèce, il ressort du dossier que la police cantonale a, le 28 mai 2009, interpellé deux ressortissants chinois dépourvus de document d'identité ainsi que d'autorisation de séjour en Suisse, alors qu'ils travaillaient dans l'un des établissements exploités par la recourante à 2********. En raison de ces faits, l'autorité intimée a dénoncé les responsables de l'établissement exploité par la recourante aux autorités pénales, lesquelles ont reconnu deux d'entre eux coupables d'infraction à loi fédérale sur les étrangers et les ont condamnés à une peine pécuniaire ainsi qu'à une amende. Ces condamnations sont dans l'intervalle entrées en force. Aucun autre élément du dossier ne justifie de s'écarter des constatations retenues par le juge pénal. L'on rappellera à ce propos que les personnes condamnées disposaient de la faculté de contester les prononcés préfectoraux dont elles ont fait l'objet dans un délai de 30 jours, ce qu'elles se sont abstenues de faire. Partant, il n'y a aucune raison de s'écarter des faits retenus par l'autorité pénale. Le tribunal de céans retiendra dès lors que la recourante a bel et bien employé deux étrangers clandestins dans un établissement qu'elle exploite à 2********.</w:t>
      </w:r>
    </w:p>
    <w:p>
      <w:r>
        <w:rPr>
          <w:b/>
        </w:rPr>
        <w:t>E. 2</w:t>
      </w:r>
    </w:p>
    <w:p>
      <w:r>
        <w:t>En second lieu, la recourante conteste la décision de l'autorité intimée sommant le restaurant C.________ de respecter les procédures applicables en cas d'engagement de main d'œuvre étrangère sous menace de rejet des futures demandes d'admission de travailleurs étrangers pour une durée variant de un à douze mois, mettant à la charge de ce restaurant un émolument administratif de 250 fr. et dénonçant aux autorités pénales les employeurs ainsi que la titulaire de la licence d'exercer. a) Selon l'art. 91 al. 1 de la loi fédérale du 16 décembre 2005 sur les étrangers (LEtr; RS 142.20), avant d'engager un étranger, l'employeur doit s'assurer qu'il est autorisé à exercer une activité lucrative en Suisse en examinant son titre de séjour ou en se renseignant auprès des autorités compétentes. Si un employeur enfreint la LEtr de manière répétée, l'autorité compétente peut rejeter entièrement ou partiellement ses demandes d'admission de travailleurs étrangers, à moins que ceux-ci aient un droit à l'autorisation (art. 122 al. 1 LEtr). L’autorité compétente peut menacer les contrevenants de ces sanctions (art. 122 al. 2 LEtr). b) Dans le cas présent, il est reproché à la recourante d'avoir engagé deux ressortissants étrangers dépourvus d'autorisation de séjour en Suisse. Ces faits ont été dûment constatés par la police cantonale et ont pour le surplus entraîné la condamnation pénale de deux personnes responsables de l'établissement concerné à 2********. Partant, l'autorité intimée était en droit de sommer ces personnes de respecter les prescriptions en matière d'engagement de main d'œuvre étrangère, en application des art. 91 et 122 LEtr. La recourante ne fournit d'ailleurs aucun élément qui permettrait d'arriver à une autre conclusion. Tout au plus se contente-t-elle de contester les faits qui lui sont reprochés, ce qui ne lui est d'aucun secours, la commission des actes répréhensibles ayant été dûment constatée par les autorités de police puis pénales et ayant conduit à une condamnation entrée en force (cf. supra point 1).</w:t>
      </w:r>
    </w:p>
    <w:p>
      <w:r>
        <w:rPr>
          <w:b/>
        </w:rPr>
        <w:t>E. 3</w:t>
      </w:r>
    </w:p>
    <w:p>
      <w:r>
        <w:t>A titre superfétatoire, l'on relèvera que la décision mettant les frais de contrôle à la charge de la recourante, laquelle n'a au demeurant pas été contestée, s'avère également bien fondée au vu des considérations qui précèdent.</w:t>
      </w:r>
    </w:p>
    <w:p>
      <w:r>
        <w:rPr>
          <w:b/>
        </w:rPr>
        <w:t>E. 4</w:t>
      </w:r>
    </w:p>
    <w:p>
      <w:r>
        <w:t>Le recours doit ainsi être rejeté aux frais de la recourante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