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PE.2009.0616 vom 25. Oktober 2010</w:t>
      </w:r>
    </w:p>
    <w:p>
      <w:r>
        <w:t>VD Tribunal cantonal, 2010-10-25, FR</w:t>
      </w:r>
    </w:p>
    <w:p>
      <w:r>
        <w:rPr>
          <w:b/>
        </w:rPr>
        <w:t xml:space="preserve">Quelle: </w:t>
      </w:r>
      <w:r>
        <w:t>https://mcp.opencaselaw.ch/entscheid/vd_omni_PE.2009.0616</w:t>
      </w:r>
    </w:p>
    <w:p>
      <w:r>
        <w:t>FR: VD_OMNI PE.2009.0616 du 25 octobre 2010</w:t>
      </w:r>
    </w:p>
    <w:p>
      <w:r>
        <w:t>IT: VD_OMNI PE.2009.0616 del 25 ottobre 2010</w:t>
      </w:r>
    </w:p>
    <w:p>
      <w:pPr>
        <w:pStyle w:val="Heading2"/>
      </w:pPr>
      <w:r>
        <w:t>Regeste</w:t>
      </w:r>
    </w:p>
    <w:p>
      <w:r>
        <w:t>A. X.________ Y.________ c/Service de la population (SPOP) | Confirmation d'une décision du SPOP refusant de délivrer une autorisation de séjour à une ressortissante camerounaise fiancée à un ressortissant de la République Démocratique du Congo titulaire d'une autorisation de séjour en Suisse, au motif qu'elle n'était pas en mesure de présenter un avis de clôture de la procédure préparatoire de mariage. En l'espèce, la recourante n'a pas démontré l'existence d'une relation de concubinage stable. La question de l'imminence du mariage peut dès lors restée ouverte.</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(PE.2010.0111 du 23 juin 2010 consid. 2).</w:t>
      </w:r>
    </w:p>
    <w:p>
      <w:r>
        <w:rPr>
          <w:b/>
        </w:rPr>
        <w:t>E. 3</w:t>
      </w:r>
    </w:p>
    <w:p>
      <w:r>
        <w:t>La recourante se prévaut de l’art. 8 de la Convention de sauvegarde des droits de l'homme et des libertés fondamentales du</w:t>
      </w:r>
    </w:p>
    <w:p>
      <w:r>
        <w:rPr>
          <w:b/>
        </w:rPr>
        <w:t>E. 4</w:t>
      </w:r>
    </w:p>
    <w:p>
      <w:r>
        <w:t>Les considérants qui précèdent conduisent au rejet du recours et à la confirmation de la décision attaquée. La recourante, qui succombe, supporte les frais de justice et n'a pas droit à des dépens (art. 49 et 55 LPA-VD). Un nouveau délai de départ sera fixé par l'autorité intimée.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