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PE.2009.0613 vom 12. Januar 2010</w:t>
      </w:r>
    </w:p>
    <w:p>
      <w:r>
        <w:t>VD Tribunal cantonal, 2010-01-12, FR</w:t>
      </w:r>
    </w:p>
    <w:p>
      <w:r>
        <w:rPr>
          <w:b/>
        </w:rPr>
        <w:t xml:space="preserve">Quelle: </w:t>
      </w:r>
      <w:r>
        <w:t>https://mcp.opencaselaw.ch/entscheid/vd_omni_PE.2009.0613</w:t>
      </w:r>
    </w:p>
    <w:p>
      <w:r>
        <w:t>FR: VD_OMNI PE.2009.0613 du 12 janvier 2010</w:t>
      </w:r>
    </w:p>
    <w:p>
      <w:r>
        <w:t>IT: VD_OMNI PE.2009.0613 del 12 gennaio 2010</w:t>
      </w:r>
    </w:p>
    <w:p>
      <w:pPr>
        <w:pStyle w:val="Heading2"/>
      </w:pPr>
      <w:r>
        <w:t>Regeste</w:t>
      </w:r>
    </w:p>
    <w:p>
      <w:r>
        <w:t>A.X.________ et B.X.________ c/Service de la population (SPOP) | Lorsque le Service de l'emploi rejette la demande d'autorisation d'exercer une activité lucrative, cette décision lie le SPOP comme autorité d'octroi de l'autorisation de séjour.</w:t>
      </w:r>
    </w:p>
    <w:p>
      <w:pPr>
        <w:pStyle w:val="Heading2"/>
      </w:pPr>
      <w:r>
        <w:t>Erwägungen</w:t>
      </w:r>
    </w:p>
    <w:p>
      <w:r>
        <w:rPr>
          <w:b/>
        </w:rPr>
        <w:t>E. 1</w:t>
      </w:r>
    </w:p>
    <w:p>
      <w:r>
        <w:t>C.________ a formé la demande d’autorisation de séjour, rejetée par le SPOP. Le recours émane de A.X.________ et B.X.________, qui ne sont pas destinataires de la décision attaquée. La question de savoir s’ils ont néanmoins qualité pour recourir contre celle-ci, ou s’ils représentent C.________, souffre de rester indécise, car le recours est de toute manière mal fondé.</w:t>
      </w:r>
    </w:p>
    <w:p>
      <w:r>
        <w:rPr>
          <w:b/>
        </w:rPr>
        <w:t>E. 2</w:t>
      </w:r>
    </w:p>
    <w:p>
      <w:r>
        <w:t>a)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b) Le protocole à l'accord a aussi introduit la disposition transitoire suivante à l'art. 10 par. 4a al. 2 ALPC: En cas de perturbations graves ou de menace de perturbations graves de son marché de l’emploi, la Suisse et chacun des nouveaux Etats membres qui a appliqué des mesures transitoires notifient ces circonstances au comité mixte pour le 31 mai 2009. Dans ce cas, le pays notifiant peut continuer à appliquer aux travailleurs salariés occupant un emploi sur son territoire les mesures décrites aux par. 1a, 2a et 3a jusqu’au 30 avril 2011. Dans ce cas, le nombre annuel de titres de séjour visé au par. 1a est le suivant: (...)" La Suisse a fait usage de la seconde possibilité de prolongation du régime transitoire ouverte par cette disposition. En effet, par notification du 29 mai 2009, la Suisse a communiqué au Comité mixte Suisse-UE qu’elle continuera à appliquer, jusqu’au 30 avril 2011, aux ressortissants de la République tchèque, de la République de Pologne, de la République slovaque, de la République de Slovénie, de la République de Hongrie, de la République d’Estonie, de la République de Lettonie et de la République de Lituanie, les mesures transitoires prévues à l’art. 10, par. 4a, al. 2 (RO 2009 3075). Ces règles transitoires ont été retranscrites à l'art.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entrée en vigueur le 1er juin 2002]). Il suit de là que les ressortissants polonais ne bénéficient pas de la libre circulation lorsqu’ils veulent s’installer en Suisse pour travailler, comme c’est le cas en l’occurrence. C.________ ne dispose dès lors pas d’un droit à séjourner en Suisse. Ce point n’a pas échappé aux recourants, puisqu’ils ont demandé pour elle une autorisation de prise d’activité lucrative.</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Le recours ne peut ainsi qu’être rejeté, et la décision attaquée confirmée. Les frais sont mis à la charge des recourants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