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PE.2009.0589 vom 29. Dezember 2009</w:t>
      </w:r>
    </w:p>
    <w:p>
      <w:r>
        <w:t>VD Tribunal cantonal, 2009-12-29, FR</w:t>
      </w:r>
    </w:p>
    <w:p>
      <w:r>
        <w:rPr>
          <w:b/>
        </w:rPr>
        <w:t xml:space="preserve">Quelle: </w:t>
      </w:r>
      <w:r>
        <w:t>https://mcp.opencaselaw.ch/entscheid/vd_omni_PE.2009.0589</w:t>
      </w:r>
    </w:p>
    <w:p>
      <w:r>
        <w:t>FR: VD_OMNI PE.2009.0589 du 29 décembre 2009</w:t>
      </w:r>
    </w:p>
    <w:p>
      <w:r>
        <w:t>IT: VD_OMNI PE.2009.0589 del 29 dicembre 2009</w:t>
      </w:r>
    </w:p>
    <w:p>
      <w:pPr>
        <w:pStyle w:val="Heading2"/>
      </w:pPr>
      <w:r>
        <w:t>Regeste</w:t>
      </w:r>
    </w:p>
    <w:p>
      <w:r>
        <w:t>X.________Sàrl/Service de l'emploi, Service de la population (SPOP) | Ressortissante roumaine engagée en qualité de sommelière. Ne satisfait pas à l'obligation d'effectuer des recherches sur le marché indigène, le restaurateur qui ne produit aucune preuve de recherches (annonces, inscription ORP) et fait valoir qu'en une année, une dizaine de personnes ne sont pas restées à son service. Refus du Service de l'emploi confirmé et rejet du recours.</w:t>
      </w:r>
    </w:p>
    <w:p>
      <w:pPr>
        <w:pStyle w:val="Heading2"/>
      </w:pPr>
      <w:r>
        <w:t>Erwägungen</w:t>
      </w:r>
    </w:p>
    <w:p>
      <w:r>
        <w:rPr>
          <w:b/>
        </w:rPr>
        <w:t>E. 1</w:t>
      </w:r>
    </w:p>
    <w:p>
      <w:r>
        <w:t>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ci-après: le Protocole additionnel II) a été conclu le 27 mai 2008 et est entré en vigueur par échanges de notes le 1 er juin 2009 . Il prévoit une réglementation transitoire à l'égard de ces deux nouveaux Etats en ajoutant notamment à l'art. 10 ALCP les alinéas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L'ODM précise sous le ch. 5.2.2.1 de sa directive II Accord sur la circulation des personnes (version 01.06.09) que, conformément au Protocole additionnel II,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w:t>
      </w:r>
    </w:p>
    <w:p>
      <w:r>
        <w:rPr>
          <w:b/>
        </w:rPr>
        <w:t>E. 2</w:t>
      </w:r>
    </w:p>
    <w:p>
      <w:r>
        <w:t>Il découle de ce qui précède que la recourante n'est en droit d'obtenir une autorisation de séjour avec activité lucrative en faveur de son employée que si elle n’a pas trouvé - malgré ses efforts - de travailleur sur le marché indigène correspondant au profil recherché. Dans sa jurisprudence constante, le Tribunal administratif a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 PE.2006.0405 du 19 octobre 2006 et les arrêts cités). Elle a par exemple retenu que ne constituait pas des recherches suffisantes, s’agissant d’un poste de sommelière, le fait d’avoir répondu à sept annonces, avoir fait paraître une seule annonce et s’être adressé à une reprise à une agence (PE.2006.0388 du 16 octobre 2007). Ces arrêts, rendus sous l’empire des art. 7 et 8 de l'ancienne ordonnance du 6 octobre 1986 limitant le nombre des étrangers (OLE), restent pleinement valables pour l’application des dispositions de la nouvelle loi sur les étrangers (PE.2009.0294 du 31 juillet 2009). En l’espèce, la recourante n’a produit aucune pièce attestant de ses démarches pour trouver un employé sur le marché indigène. Elle n’a en particulier pas fourni de copies d’annonces qu’elle a fait paraître ou auxquelles elle a répondu, ou de contact avec l’Office régional de placements. Elle fait valoir qu’il est difficile de trouver quelqu’un de stable qui accepte de travailler dans un pub et qui se satisfasse des horaires de travail et du salaire. Cet argument à lui seul et la liste des neuf personnes qui ont occupé le poste en 2009 ne suffisent à l’évidence pas à admettre que des démarches suffisantes ont été accomplies. Dans ces circonstances, le refus de l’autorité intimée est pleinement justifié.</w:t>
      </w:r>
    </w:p>
    <w:p>
      <w:r>
        <w:rPr>
          <w:b/>
        </w:rPr>
        <w:t>E. 3</w:t>
      </w:r>
    </w:p>
    <w:p>
      <w:r>
        <w:t>Il résulte des considérants qui précèdent que le recours est manifestement mal fondé et que la décision du Service de l'emploi doit être confirmée. Un émolument de justice est mis à la charge de la recourante,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