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PE.2009.0571 vom 23. Februar 2010</w:t>
      </w:r>
    </w:p>
    <w:p>
      <w:r>
        <w:t>VD Tribunal cantonal, 2010-02-23, FR</w:t>
      </w:r>
    </w:p>
    <w:p>
      <w:r>
        <w:rPr>
          <w:b/>
        </w:rPr>
        <w:t xml:space="preserve">Quelle: </w:t>
      </w:r>
      <w:r>
        <w:t>https://mcp.opencaselaw.ch/entscheid/vd_omni_PE.2009.0571</w:t>
      </w:r>
    </w:p>
    <w:p>
      <w:r>
        <w:t>FR: VD_OMNI PE.2009.0571 du 23 février 2010</w:t>
      </w:r>
    </w:p>
    <w:p>
      <w:r>
        <w:t>IT: VD_OMNI PE.2009.0571 del 23 febbraio 2010</w:t>
      </w:r>
    </w:p>
    <w:p>
      <w:pPr>
        <w:pStyle w:val="Heading2"/>
      </w:pPr>
      <w:r>
        <w:t>Regeste</w:t>
      </w:r>
    </w:p>
    <w:p>
      <w:r>
        <w:t>A. X.________ c/Service de la population (SPOP) | Ressortissant béninois, le recourant a obtenu une autorisation de séjour en Suisse suite à son mariage avec une Suissesse. Au vu de la séparation des époux intervenue après moins de trois ans de vie commune, l'autorité intimée a refusé de renouveler son titre de séjour. Le fait qu'il ait trois enfants en Suisse dont il n'a pas la garde et avec lesquels il n'entretient pas des relations personnelles particulièrement étroites ne constitue pas une raison personnelle majeure au sens de l'art. 50 al. 1 let. b LEtr. Recours rejeté.</w:t>
      </w:r>
    </w:p>
    <w:p>
      <w:pPr>
        <w:pStyle w:val="Heading2"/>
      </w:pPr>
      <w:r>
        <w:t>Erwägungen</w:t>
      </w:r>
    </w:p>
    <w:p>
      <w:r>
        <w:rPr>
          <w:b/>
        </w:rPr>
        <w:t>E. 1</w:t>
      </w:r>
    </w:p>
    <w:p>
      <w:r>
        <w:t>a) La nouvelle loi fédérale sur les étrangers du 16 décembre 2005 (ci-après: LEtr; RS 142.20), entrée en vigueur le 1 er janvier 2008, abroge et remplace l’ancienne loi fédérale sur le séjour et l’établissement des étrangers du 26 mars 1931 (ci-après: LSEE). A titre de droit transitoire, l’art. 126 al. 1 LEtr prévoit toutefois que les demandes déposées avant l’entrée en vigueur de la LEtr sont régies par l’ancien droit. Simultanément, l a nouvelle ordonnance du 24 octobre 2007 relative à l’admission, au séjour et à l’exercice d’une activité lucrative (OASA ; RS 142.201) abroge et remplace l’ancienne ordonnance limitant le nombre des étrangers du 6 octobre 1986 (OLE; RO 1986 1791 et les modifications subséquentes). Les dispositions transitoires de la LEtr sont applicables par analogie à cette ordonnance. b) En l’espèce, la demande de renouvellement de l'autorisation de séjour ayant été déposée après l’entrée en vigueur de la LEtr, la validité matérielle de la décision attaquée doit être examinée à l’aune du nouveau droit.</w:t>
      </w:r>
    </w:p>
    <w:p>
      <w:r>
        <w:rPr>
          <w:b/>
        </w:rPr>
        <w:t>E. 2</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LEtr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Le recourant requière l'audition de témoins par la Cour de céans. a) Tel qu’il est garanti par l’art. 29 al. 2 de la Constitution fédérale de la Confédération suisse du 18 avril 1999 (ci-après : Cst.;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p. 562; 127 V 431 consid. 3d/aa pp. 437 s.; 126 V 130 consid. 2b pp. 131 s. et les arrêts cités). b) En l'espèce, il n'est pas nécessaire de procéder à d'autres mesures d'instruction, le dossier étant complet et permettant à la Cour de céans de statuer. De plus, les parties ont eu l'occasion de faire valoir leur point de vue à l'occasion d'un second échange d'écritures. Il ne sera dès lors pas donné suite à la requête d'audition de témoins du recourant.</w:t>
      </w:r>
    </w:p>
    <w:p>
      <w:r>
        <w:rPr>
          <w:b/>
        </w:rPr>
        <w:t>E. 4</w:t>
      </w:r>
    </w:p>
    <w:p>
      <w:r>
        <w:t>Le recourant ne conteste pas que l'union conjugale est vidée de sa substance. Il se prévaut cependant de sa relation avec ses trois enfants domiciliés en Suisse pour obtenir un titre de séjour. a) aa) Le conjoint d’un ressortissant suisse ainsi que ses enfants célibataires de moins de 18 ans ont droit à l’octroi d’une autorisation de séjour et à la prolongation de sa durée de validité à condition de vivre en ménage commun avec lui (art. 42 al. 1 LEtr). Après la dissolution de la famille, l'art. 50 al. 1 LEtr prévoit d'une part que le droit du conjoint et des enfants à l'octroi d'une autorisation de séjour et à sa prolongation subsiste lorsque l'union conjugale a duré au moins trois ans et l'intégration est réussie (let. a). L'union conjugale au sens de l'art. 50 al. 1 let. a LEtr suppose l'existence d'une communauté conjugale effectivement vécue (cf. Directives sur le domaine des étrangers édictées par l'Office fédéral des migrations - ci-après: ODM, version du 1 er juillet 2009 n° 6.15.1; ATF 2C_304/2009 du 9 décembre 2009 consid. 3). bb) D'autre part, le droit à l'octroi d'une autorisation de séjour demeure lorsque la poursuite du séjour en Suisse s'impose pour des raisons personnelles majeures (art. 50 al. 1 let. b LEtr). Les raisons personnelles majeures visées par cette disposition sont notamment données lorsque le conjoint est victime de violence conjugale et que la réintégration sociale dans le pays de provenance semble fortement compromise (art. 50 al. 2 LEtr). Lors de l’appréciation, il convient de tenir compte notamment de l’intégration du requérant, du respect de l’ordre juridique suisse par celui-ci, de sa situation familiale, particulièrement de la période de scolarisation et de la durée de la scolarité des enfants, de sa situation financière ainsi que de sa volonté de prendre part à la vie économique et d’acquérir une formation, de la durée de sa présence en Suisse, de son état de santé et de ses possibilités de réintégration dans l’Etat de provenance (art. 31 al. 1 OASA). Pour interpréter la notion de "raisons personnelles majeures", on peut se référer à la jurisprudence développée sous l’empire de l’ancien art. 13 f OLE en vigueur jusqu’au 31 décembre 2007, qui concernait les autorisations de séjour pouvant être délivrées "dans un cas personnel d'extrême gravité ou en raison de considérations de politique générale" ( cf. arrêts PE.2009.0200 du 24 août 2009 consid. 4b pp. 5 ss; 2008.0342 du 18 mars 2009 consid. 2 pp. 4 ss). Celle-ci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2A.531/2005 du 7 décembre 2005; ATF 130 II 39 consid. 3 p. 41/42; ATF 128 II 200 consid. 4 p. 207/208 et les références citées).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couronnées de succès. Seront des facteurs allant en sens opposé le fait que l'intéressé n'arrive pas à subsister de manière indépendante et doive recourir à l'aide sociale, ou des liens conservés avec le pays d'origine, par exemple sur le plan familial, de manière à permettre un réintégration plus facile (arrêt PE.2007.0436 du 31 mars 2008 consid. 3 pp. 4 ss et les références citées). Sous l’angle de l’intérêt privé, la jurisprudence considère qu’il n’est pas indispensable que le parent au bénéfice d’un droit de visite et l’enfant vivent dans le même pays. Le droit de visite peut s’exercer depuis l’étranger, au besoin en aménageant les modalités de ce droit quant à sa fréquence et à sa durée. Il faut prendre en considération l’intensité de la relation entre le parent et l’enfant, la distance qui séparerait l’étranger de la Suisse s’il devait la quitter, le comportement de l’étranger en général et en particulier s’il respecte ses obligations d’entretien (ATF 120 Ib 22 consid. 4a pp. 24 ss). b) Il ne peut être fait application en l'espèce de l'art. 50 al. 1 let. a LEtr, l'union conjugale ayant duré moins de trois ans. Cela étant, le recourant prétend que sa présence auprès de ses trois enfants en Suisse à l'entretien desquels il contribue est indispensable et constituerait une raison personnelle majeure au sens de l'art. 50 al. 1 let. b LEtr ouvrant le droit à une autorisation de séjour. Or, il ressort du dossier que le recourant, qui n'a pas la garde de ses enfants, n'entretient pas des relations personnelles particulièrement étroites avec ses trois enfants. Contrairement à ce qu'il prétend, le fait qu'il s'acquitte du paiement des pensions alimentaires ne permet pas de conclure à l'existence d'une relation effective avec ceux-ci, ce d'autant plus qu'il n'a pas toujours versé ses contributions de manière régulière si bien que les mères de ces enfants ont dû recourir aux service du Bureau de recouvrement et d'avances de pensions alimentaires. S'agissant de la fille qu'il a eue avec son épouse, si le souhait de cette dernière de favoriser l'exercice des relations personnelles entre leur fille et son père est compréhensible, ceci ne signifie pas pour autant que leurs relations sont étroites. Par ailleurs, le recourant expose avoir dû entreprendre des démarches aux fins de pouvoir exercer son droit aux relations personnelles avec ses deux autres enfants qui serait entravé par leur mère. Ceci tend à démontrer au contraire qu'il n'entretient nullement des relations effectives et étroites avec ces deux enfants. D'ailleurs, indépendamment des questions relatives à l'existence et à l'intensité des relations personnelles entre le recourant et ses enfants, il apparaît qu'au vu des critères retenus par la jurisprudence précitée, il ne remplit nullement les conditions constitutives d'un cas personnel d'extrême gravité. Le recourant, aujourd'hui âgé de 30 ans et qui est en bonne santé est à même de rentrer dans son pays d'origine d'où il pourra organiser l'exercice de son droit aux relations personnelles avec ses trois enfants et continuer à contribuer à leur entretien. Par ailleurs, il n'allègue pas que sa réintégration au Bénin est compromise, pays dans lequel il est d'ailleurs retourné séjourner plusieurs mois depuis qu'il vit en Suisse.</w:t>
      </w:r>
    </w:p>
    <w:p>
      <w:r>
        <w:rPr>
          <w:b/>
        </w:rPr>
        <w:t>E. 5</w:t>
      </w:r>
    </w:p>
    <w:p>
      <w:r>
        <w:t>L'examen de la situation ne conduit pas à un autre résultat sous l'angle de l’art. 8 § 1 de la Convention du 4 novembre 1950 de sauvegarde des droits de l'homme et des libertés fondamentales (CEDH; RS 0.101), les relations entre le recourant et ses trois enfants ne pouvant être qualifiées d'étroites et effectives.</w:t>
      </w:r>
    </w:p>
    <w:p>
      <w:r>
        <w:rPr>
          <w:b/>
        </w:rPr>
        <w:t>E. 6</w:t>
      </w:r>
    </w:p>
    <w:p>
      <w:r>
        <w:t>Il ressort des considérations qui précèdent que l'autorité intimée n'a pas abusé de son pouvoir d'appréciation en estimant que le recourant ne pouvait plus prétendre à un titre de séjour en Suisse. Le recours doit ainsi être rejeté aux frais du recourant qui n'a pas droit à des dépens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