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PE.2009.0568 vom 30. Juni 2010</w:t>
      </w:r>
    </w:p>
    <w:p>
      <w:r>
        <w:t>VD Tribunal cantonal, 2010-06-30, FR</w:t>
      </w:r>
    </w:p>
    <w:p>
      <w:r>
        <w:rPr>
          <w:b/>
        </w:rPr>
        <w:t xml:space="preserve">Quelle: </w:t>
      </w:r>
      <w:r>
        <w:t>https://mcp.opencaselaw.ch/entscheid/vd_omni_PE.2009.0568</w:t>
      </w:r>
    </w:p>
    <w:p>
      <w:r>
        <w:t>FR: VD_OMNI PE.2009.0568 du 30 juin 2010</w:t>
      </w:r>
    </w:p>
    <w:p>
      <w:r>
        <w:t>IT: VD_OMNI PE.2009.0568 del 30 giugno 2010</w:t>
      </w:r>
    </w:p>
    <w:p>
      <w:pPr>
        <w:pStyle w:val="Heading2"/>
      </w:pPr>
      <w:r>
        <w:t>Regeste</w:t>
      </w:r>
    </w:p>
    <w:p>
      <w:r>
        <w:t>X.________SA/Service de la population (SPOP), Service de l'emploi | La recourante, qui a fait paraître une annonce dans un quotidien trois mois avant le dépôt d'une demande de main-d'oeuvre étrangère, et qui a annoncé le poste à l'ORP après que la décision querellée a été rendue, n'apporte pas la preuve d'avoir fourni des efforts suffisants, mais restés vains, en vue d'engager un travailleur indigène.</w:t>
      </w:r>
    </w:p>
    <w:p>
      <w:pPr>
        <w:pStyle w:val="Heading2"/>
      </w:pPr>
      <w:r>
        <w:t>Erwägungen</w:t>
      </w:r>
    </w:p>
    <w:p>
      <w:r>
        <w:rPr>
          <w:b/>
        </w:rPr>
        <w:t>E. 1</w:t>
      </w:r>
    </w:p>
    <w:p>
      <w:r>
        <w:t>a) L’adhésion de la Bulgarie et de la Roumanie à l’Union européenne, le 1 er janvier 2007, n'a pas entraîné l’extension à ces Etats de l'Accord sur la libre circulation des personnes du 21 juin 1999 entre la Confédération suisse, d'une part, et la Communauté européenne et ses Etats membres, d'autre part (ALCP; RS 0.142.112.681). Le 8 février 2009, le peuple suisse a cependant accepté, en même temps que la reconduction de cet accord, le Protocole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(protocole d’extension; RS 0.142.112.681.1), entré en vigueur par échanges de notes le 1er juin 2009. Le protocole d’extension prévoit une réglementation transitoire à l'égard de ces deux nouveaux Etats en ajoutant notamment à l'art. 10 ALCP les alinéas 1b et 2b. L'alinéa 1b précise que jusqu’à la fin de la deuxième année à compter de l’entrée en vigueur du protocole, la Suisse peut maintenir des limites quantitatives à l’accès des travailleurs salariés occupant un emploi en Suisse et des indépendants, qui sont ressortissants de la République de Bulgarie et de la Roumanie. L'alinéa 2b indique quant à lui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L'Office fédéral des migrations (ODM) a édicté une directive II concernant l’ALCP (ci-après: Directives ALCP) . Dans sa version du 1er juin 2009, ce document précise que, c onformément au protocole d’extension, la Suisse peut maintenir jusqu’au 31 mai 2016 au plus tard les restrictions relatives au marché du travail en vigueur jusqu’ici pour les autorisations de courte durée et de séjour destinées aux ressortissants de Bulgarie et Roumanie (ch. 5.2.2.1). Ainsi, le recourant ne peut se prévaloir de l’ALCP pour en tirer le droit à une autorisation de séjour avec activité lucrative. Partant, ce sont les règles ordinaires prévues par la loi fédérale du 16 décembre 2005 sur les étrangers, entrée en vigueur le 1er janvier 2008 (LEtr; RS 142.20) et par l’ordonnance fédérale du 24 octobre 2007 relative à l’admission, au séjour et à l’exercice d’une activité lucrative également entrée en vigueur le 1er janvier 2008 (OASA; RS 142.201; cf. art. 10 à 12 de l’ordonnance fédérale du 22 mai 2002 sur l’introduction de la libre circulation des personnes, OLCP; RS 142.203) qui s’appliquent aux ressortissants des nouveaux états membres de l'Union européenne (voir ATF 2C_217/2009 du 11 septembre 2009; arrêt de la Cour de droit administratif et public du Tribunal cantonal PE.2009.0528 du 4 janvier 2010; PE.2009.0244 du 27 novembre 2009; PE.2008.0499 du 24 avril 2009; PE.2008.0219 du 22 janvier 2009; Directives ALCP; chapitre 5). Les qualifications professionnelles (bonnes qualifications et motifs particuliers au sens de l’art. 23 LEtr) ne sont plus exigées. Toutefois, ce dernier point ne s’applique pas aux autorisations de courte durée de quatre mois au plus (Directives ALCP ch. 5.2.2.1).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L'art. 21 al. 1 LEtr précise qu'un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L'ordre de priorité fixé à l’art. 21 al. 1 LEtr implique que les employeurs annoncent le plus rapidement possible aux offices régionaux de placement les emplois vacants qu'ils présument ne pouvoir repourvoir qu'en faisant appel à du personnel venant de l'étranger. Les offices de placement jouent en effet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Il importe aussi d'examiner l'opportunité de former ou de perfectionner les travailleurs disponibles sur le marché du travail suisse (Directive de l'ODM I Domaine des étrangers,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les efforts de recherche ne soient pas fournis à seule fin de s’acquitter d’une exigence (p. ex. une fois le contrat de travail signé par le candidat) ou à ce que les personnes ayant la priorité ne soient pas exclues sur la base de critères professionnels non pertinents tels que des séjours à l’étranger spécifiques ou des connaissances linguistiques qui ne sont pas indispensables pour exercer l’activité en question (Directive de l'ODM I Domaine des étrangers, ch. 4.3.2.2). Il convient de relever que le ch. 5.5.2 de la Directive de l'ODM II Accord sur la circulation des personnes fixe des exigences similaires. b) Dans sa jurisprudence constante, le tribunal a considéré qu'il fallait se montrer strict quant à l'exigence des recherches effectuées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(cf. notamment PE.2006.0405 du 19 octobre 2006 consid. 2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(PE.2006.0692 du 29 janvier 2007 consid. 2). Dans le cas d'un employeur qui souhaitait engager une ressortissante polonaise, la cour de céans a jugé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(PE.2008.0480 du 27 février 2009 consid. 2c, confirmé sur recours par le Tribunal fédéral dans l'arrêt 2C_217/2009 du 11 septembre 2009 consid. 3.2). S'agissant d'une ressortissante roumaine, elle a jugé que la seule annonce du poste sur le site internet de l'employeur et sur les présentoirs de grands magasins n'était pas suffisante, l'inscription auprès de l'office régional de placement ayant été effectuée postérieurement à la demande (PE.2009.0417 du 30 décembre 2009 consid. 3). Ont aussi été considérées comme insuffisantes, des recherches par voie d'une ou deux annonces dans la presse, un ou deux ans avant le dépôt de la demande pour l'engagement d'un ressortissant bulgare, et l'absence d'annonce à l'office régional de placement (PE.2009.0244 du 27 novembre 2009 consid. 2c). c) En l’espèce, la recourante n'apporte pas la preuve d'avoir fourni des efforts suffisants, mais restés vains, en vue d'engager, pour le poste vacant, un travailleur indigène. En effet, pour l'essentiel, seule est établie la parution d'une annonce dans le le journal "24heures" du 14 mai 2009, soit trois mois avant le dépôt de la demande d'engagement de main-d'œuvre étrangère, ce qui est manifestement insuffisant au regard de la jurisprudence exposée ci-dessus. Le poste a certes été annoncé à l'ORP, mais après que la décision a été rendue; on ne saurait donc tenir compte de cet élément, puisque cette démarche doit être entreprise avant le dépôt de la demande. La recourante déclare encore avoir cherché auprès de ses nombreux contacts une personne correspondant à ses attentes. Elle n'apporte toutefois pas la preuve de ses allégations. Quelque vraies qu'elles soient, même si cette méthode de recherche peut se révéler fructueuse, elle ne jouit pas d'une diffusion aussi large que les offres d'emploi par voie de presse ou les annonces de poste auprès de l'ORP, de sorte que l'on ne peut, sur cette base, considérer que l'employeur a effectué des recherches suffisantes avant de déposer une demande de main-d'œuvre étrangère. Quant aux études présentées par la recourante sur l'état du marché de l'emploi, leur valeur probante n'est que très faible. En effet, une pénurie d'employés d'un certain corps de métier ne signifie pas leur absence complète du marché du travail, partant l'impossibilité de recruter la personne désirée. La preuve de recherches concrètes est exigée précisément pour établir l'échec pratique des démarches de l'employeur, et non simplement théorique ou probable. En conséquence, sont sans pertinence les développements de l'acte de recours quant aux besoins et projets de la recourante et quant aux qualifications de l'employé pressenti, qui ne sont nullement remis en cause par la décision querellée.</w:t>
      </w:r>
    </w:p>
    <w:p>
      <w:r>
        <w:rPr>
          <w:b/>
        </w:rPr>
        <w:t>E. 2</w:t>
      </w:r>
    </w:p>
    <w:p>
      <w:r>
        <w:t>Il résulte de ce qui précède que le recours doit être rejeté et la décision du Service de l'emploi confirmée. Un émolument de justice est mis à la charge de la recourante,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