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PE.2009.0528 vom 4. Januar 2010</w:t>
      </w:r>
    </w:p>
    <w:p>
      <w:r>
        <w:t>VD Tribunal cantonal, 2010-01-04, FR</w:t>
      </w:r>
    </w:p>
    <w:p>
      <w:r>
        <w:rPr>
          <w:b/>
        </w:rPr>
        <w:t xml:space="preserve">Quelle: </w:t>
      </w:r>
      <w:r>
        <w:t>https://mcp.opencaselaw.ch/entscheid/vd_omni_PE.2009.0528</w:t>
      </w:r>
    </w:p>
    <w:p>
      <w:r>
        <w:t>FR: VD_OMNI PE.2009.0528 du 4 janvier 2010</w:t>
      </w:r>
    </w:p>
    <w:p>
      <w:r>
        <w:t>IT: VD_OMNI PE.2009.0528 del 4 gennaio 2010</w:t>
      </w:r>
    </w:p>
    <w:p>
      <w:pPr>
        <w:pStyle w:val="Heading2"/>
      </w:pPr>
      <w:r>
        <w:t>Regeste</w:t>
      </w:r>
    </w:p>
    <w:p>
      <w:r>
        <w:t>A.X.________ c/ Service de la population (SPOP) | La règle de la priorité en faveur des travailleurs locaux continue de s'appliquer relativement aux ressortissants bulgares. Lorsque le Service de l'emploi refuse l'autorisation d'exercer une activité lucrative, cette décision s'impose au SPOP, saisi d'une demande d'autorisation de séjour.</w:t>
      </w:r>
    </w:p>
    <w:p>
      <w:pPr>
        <w:pStyle w:val="Heading2"/>
      </w:pPr>
      <w:r>
        <w:t>Erwägungen</w:t>
      </w:r>
    </w:p>
    <w:p>
      <w:r>
        <w:rPr>
          <w:b/>
        </w:rPr>
        <w:t>E. 1</w:t>
      </w:r>
    </w:p>
    <w:p>
      <w:r>
        <w:t>a) 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d’extension; RS 0.142.112.681.1), entré en vigueur par échanges de notes le 1er juin 2009. Le protocole d’extension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a édicté une directive II concernant l’ALCP. Dans sa version du 1 er juin 2009, ce document précise que, c onformément au protocole d’extension, la Suisse peut maintenir jusqu’au 31 mai 2016 au plus tard les restrictions relatives au marché du travail en vigueur jusqu’ici pour les autorisations de courte durée et de séjour destinées aux ressortissants de Bulgarie et Roumanie (ch. 5.2.2.1). Il suit de là que le recourant ne peut se prévaloir de l’ALCP pour en tirer le droit à une autorisation de séjour avec activité lucrative. Partant, les règles ordinaires s’appliquent à lui (cf. arrêt PE.2009.0244 du 27 novembre 2009). b) Une décision cantonale préalable concernant le marché du travail est nécessaire pour l’admettre en vue de l’exercice d’une activité lucrative (art. 40 al. 2 de la loi fédérale du 16 décembre 2005 sur les étrangers -LEtr; RS 142.20). L’art. 83 de l’ordonnance fédérale du 24 octobre 2007 relative à l’admission, au séjour et à l’exercice d’une activité lucrative (OASA; RS 142.201) précise les conditions d’octroi de cette autorisation de prise d’emploi. Dans le canton de Vaud, cette décision dépend du SE, l’autorisation de séjour du SPOP. Selon la jurisprudence, le refus du SE d’octroyer d’une autorisation au sens de l’art. 83 OASA lie le SPOP, lorsque celui-ci est saisi d’une demande d’autorisation de séjour (cf. en dernier lieu, arrêt PE.2009.0339 du 30 octobre 2009). En l’occurrence, le SE a rejeté la demande de prise d’emploi, le 20 juin 2009. Le SPOP ne pouvait s’écarter de cette décision entrée en force. c) Le recours doit dès lors être rejeté pour ce seul motif, sans qu’il soit nécessaire d’examiner les arguments du recourant ayant trait à la nouvelle demande d’autorisation de prise d’emploi présentée dans l’intervalle par son employeur. A supposer que le SE rende une décision, cette fois-ci favorable au recourant, celui-ci obtiendra une autorisation de séjour.</w:t>
      </w:r>
    </w:p>
    <w:p>
      <w:r>
        <w:rPr>
          <w:b/>
        </w:rPr>
        <w:t>E. 2</w:t>
      </w:r>
    </w:p>
    <w:p>
      <w:r>
        <w:t>Le recours est ainsi rejeté, et la décision attaquée confirmée. Les frais sont mis à la charge du recourant (art. 49 de la loi du 28 octobre 2008 sur la procédure administrative –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