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PE.2009.0499 vom 1. April 2010</w:t>
      </w:r>
    </w:p>
    <w:p>
      <w:r>
        <w:t>VD Tribunal cantonal, 2010-04-01, FR</w:t>
      </w:r>
    </w:p>
    <w:p>
      <w:r>
        <w:rPr>
          <w:b/>
        </w:rPr>
        <w:t xml:space="preserve">Quelle: </w:t>
      </w:r>
      <w:r>
        <w:t>https://mcp.opencaselaw.ch/entscheid/vd_omni_PE.2009.0499</w:t>
      </w:r>
    </w:p>
    <w:p>
      <w:r>
        <w:t>FR: VD_OMNI PE.2009.0499 du 1 avril 2010</w:t>
      </w:r>
    </w:p>
    <w:p>
      <w:r>
        <w:t>IT: VD_OMNI PE.2009.0499 del 1 aprile 2010</w:t>
      </w:r>
    </w:p>
    <w:p>
      <w:pPr>
        <w:pStyle w:val="Heading2"/>
      </w:pPr>
      <w:r>
        <w:t>Regeste</w:t>
      </w:r>
    </w:p>
    <w:p>
      <w:r>
        <w:t>A. X.________ c/Département de l'intérieur, Service de la population (SPOP) | Annulation de la décision de révocation de l'autorisation d'établissement d'un ressortissant italien arrivé en Suisse en 1976, à l'âge de 10 ans. Même si cette mesure est envisageable compte tenu du passé pénal du recourant, qui a notamment été condamné à 15 ans de réclusion pour trafic de stupéfiants, le DINT doit également examiner si, au vu de son comportement actuel, le recourant risque de récidiver et s'il a des chances de se réintégrer dans son pays d'origine.</w:t>
      </w:r>
    </w:p>
    <w:p>
      <w:pPr>
        <w:pStyle w:val="Heading2"/>
      </w:pPr>
      <w:r>
        <w:t>Erwägungen</w:t>
      </w:r>
    </w:p>
    <w:p>
      <w:r>
        <w:rPr>
          <w:b/>
        </w:rPr>
        <w:t>E. 1</w:t>
      </w:r>
    </w:p>
    <w:p>
      <w:r>
        <w:t>let. b LEtr), ou encore si l'étranger a été condamné à une peine privative de liberté de longue durée ou a fait l'objet d'une mesure pénale prévue aux art. 64 ou 61 CP (art. 62 let. b LEtr). Les motifs de révocation des articles 62 et 63 LEtr correspondent en grande partie aux motifs d’expulsion prévus par l’art. 10 de la loi fédérale sur le séjour et l’établissement des étrangers (LSEE), en vigueur jusqu’au 31 décembre 2007, (cf. le message du Conseil fédéral du 8 mars 2002 concernant la loi sur les étrangers, in FF 2002 3469, 3518, relatif à l’art. 62 du projet LEtr, devenu l’art. 63 du texte légal final). La jurisprudence développée sous l’empire de la LSEE peut donc s’appliquer mutatis mutandis à l’art. 63 LEtr (arrêts PE.2008.0341 du 2 mars 2010; PE.2009.0404 du 12 octobre 2009). Il ressort de l'art. 10 al. 1 LSEE qu’un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D’après la jurisprudence fédérale, lorsque le refus d’octroyer ou de prolonger une autorisation se fonde sur la commission d’infractions, la peine infligée par le juge pénal est le premier critère à prendre en considération pour évaluer la gravité de la faute et procéder à la pesée des intérêts en présence (cf. ATF 134 II 10 consid. 4.2; 129 II 215 consid. 3.1 p. 216; 120 Ib 6 consid. 4c p. 15 s.). La Haute Cour a également précisé à de nombreuses reprises qu’une condamnation à une peine privative de liberté de deux ans justifiait généralement une expulsion administrative (ATF 130 II 176, consid. 4. 1, p. 185, rés. in RDAF 2005 I 641; ATF 2C_295/2009 du 25 septembre 2009, consid. 4. 4, qui concernent tous deux un étranger marié à une Suissesse ). Dans son message relatif à la LEtr, le Conseil fédéral s’est référé à cette jurisprudence et à la mesure des " deux ans ou plus " pour définir la longue peine privative de liberté ( FF 2002 3469, 3565, relatif à l’art. 62 du projet, devenu l’art. 63 du texte final) .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10 al. 1 LSEE, en particulier dans les situations où existent de nombreuses condamnations à de petites peines. En tout état, ce principe " des deux ans " ne peut être appliqué sans autre discussion, lorsque la durée du séjour en Suisse est longue; plus la durée de ce séjour aura été longue, plus les conditions pour prononcer l'expulsion administrative doivent être appréciées restrictivement (PE.2002.0246 du 15 octobre 2002, in RDAF 2003 I 147 ; ATF 2C_152/2007 du 22 avril 2008 consid. 4.3 et les réf.; ATF 2C_625/2007 du 2 avril 2008 consid. 7; PE.2008.0203 du 8 mai 2009). Au sujet de l’art. 63 LEtr, le chiffre 8.2.1.5.2 de la directive I " Domaine des étrangers " de l’Office fédéral des migrations (directives ODM) précise que la jurisprudence du Tribunal fédéral indiquant qu’une expulsion était en principe possible lorsque la personne concernée a été condamnée à une peine privative de liberté de longue durée (ATF 125 lI 521 précisé par ATF 2C_295/2009, op. cit.) est applicable par analogie à la révocation d’une autorisation d’établissement.</w:t>
      </w:r>
    </w:p>
    <w:p>
      <w:r>
        <w:rPr>
          <w:b/>
        </w:rPr>
        <w:t>E. 2</w:t>
      </w:r>
    </w:p>
    <w:p>
      <w:r>
        <w:t>La Cour européenne des droits de l'homme a quant à elle rappelé dans un arrêt 42034/04 du 22 mai 2008 (Emre Emrah c. Suisse) que, si la Convention ne garantit, comme tel, aucun droit pour un étranger de résider sur le territoire d’un pays déterminé, exclure une personne d’un pays où vivent ses parents proches constitue une ingérence dans le droit au respect de la vie privée et familiale, qui doit remplir les exigences de l’art. 8 § 2 CEDH. Il faut donc rechercher si la mesure est prévue par la loi, justifiée par un ou plusieurs buts légitimes et « nécessaire, dans une société démocratique ». En ce qui concerne cette dernière question, il convient de déterminer si la mesure respecte un juste équilibre entre d’une part, le droit de l’intéressé au respect de sa vie privée et familiale, et, d’autre part, la protection de l’ordre public et la prévention des infractions pénales. Pour ce faire, il faut tenir compte de quatre éléments principaux: la nature et la gravité de l’infraction commise (1); la durée du séjour dans le pays dont il doit être expulsé (2); le laps de temps écoulé entre la perpétration de l’infraction et la mesure litigieuse, ainsi que la conduite de l’intéressé durant cette période (3), et la solidité des liens sociaux, culturels et familiaux avec le pays hôte et avec le pays de destination (4).</w:t>
      </w:r>
    </w:p>
    <w:p>
      <w:r>
        <w:rPr>
          <w:b/>
        </w:rPr>
        <w:t>E. 3</w:t>
      </w:r>
    </w:p>
    <w:p>
      <w:r>
        <w:t>Dans l'arrêt 2C_98/2009 du 10 juin 2009, rendu encore en application de la LSEE, le Tribunal fédéral a rappelé que l'expulsion suppose une pesée des intérêts en présence, ainsi que l'examen de la proportionnalité de la mesure (ATF 130 II 176 consid. 3.3.4). Lorsque le motif d'expulsion consiste dans la commission d'un délit ou d'un crime, la peine infligée par le juge pénal est le premier critère servant à évaluer la gravité de la faute et à peser les intérêts. Le risque de récidive est un facteur important permettant d'apprécier le danger que présente un étranger pour l'ordre public (ATF 120 Ib 6 consid. 4c). La durée de présence en Suisse d'un étranger constitue un autre critère très important. Plus cette durée est longue, plus les conditions pour prononcer l'expulsion administrative doivent être appréciées restrictivement (ATF 125 II 521 consid. 2b).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et de graves infractions à la loi fédérale sur les stupéfiants, ou en cas de récidive (arrêts précités; voir aussi arrêt 2C_625/2007 du 2 avril 2008, consid. 7.1). On tiendra alors particulièrement compte de l'intensité des liens de l'étranger avec la Suisse et des difficultés de réintégration dans son pays d'origine (ATF 122 II 433 consid. 2c p. 436).</w:t>
      </w:r>
    </w:p>
    <w:p>
      <w:r>
        <w:rPr>
          <w:b/>
        </w:rPr>
        <w:t>E. 4</w:t>
      </w:r>
    </w:p>
    <w:p>
      <w:r>
        <w:t>En l'espèce, le recourant vit en Suisse depuis 1976, soit depuis plus de 33 ans. Il a été condamné à trois reprises, dont la dernière fois, à une peine de 15 ans de réclusion notamment pour infraction grave à la loi fédérale sur les stupéfiants . La limite de deux ans est dès lors largement dépassée. Concernant les enfants du recourant, la lettre du Service pénitentiaire produite confirme qu'ils sont actuellement domiciliés en Espagne. Il ressort du tableau annexé à cette dernière que les deux enfants sont venus rendre visite à leur père quatre fois en 2006 (les 29 juin, 3 novembre, 28 et 29 décembre), trois fois en 2007 (les 21 mai, 17 août et 12 octobre 2007) et deux fois en 2008 (les 20 février et 15 août). Quant à l'ex-épouse du recourant, elle indique que le recourant " à écrit à ses enfants, les appellent toutes les semaines, les voient lors de multiples visites en prison. Lors de ses dernières permissions les enfants ont passés Noël 2008 avec leur père, oncle et grands-parents, ainsi que cet été les enfants ont passés une soirée avec leur père ". Le recourant pourrait dès lors entretenir les mêmes relations avec ses enfants, qu'il soit domicilié en Suisse ou en Italie d'où il est originaire, soit en les accueillant chez lui, soit en leur rendant visite chez eux. S'agissant du risque de récidive, le Tribunal fédéral a précisé, dans l'arrêt 2C_98/2009 précité, que l'instance cantonale doit, lors de l'évaluation du risque de récidive en relation avec la menace pour l'ordre public, examiner la situation concrète et actuelle du recourant au moment où elle statue. En l'espèce, l'autorité intimée a considéré qu'" en dépit de son bon comportement en prison, des efforts entrepris pour suivre un apprentissage et d'une éventuelle promesse d'engagement, on ne saurait exclure tout risque de récidive au vu de la durée de l'activité délictueuse de M. A. X.________ et de sa tentative de fuir jusqu'au bout sa responsabilité et d'échapper à la justice pénale, comme le relève le jugement du 8 août 2005 de la Cour de Cassation pénale du Tribunal cantonal ". Elle a également relevé que " malgré l'obtention d'un CFC de maçon à l'âge de 24 ans et la création d'une entreprise avec sa femme en 1995, il n'a pas hésité à s'adonner au trafic de stupéfiant. Ainsi, le fait que son patron d'apprentissage souhaite l'engager au plus vite ne saurait modifier les considérations émises " et que " la présence de son épouse et de ses enfants ne l'ont pas empêché de commettre des infractions ". Or, l'expert, auteur du rapport d'expertise du 9 juin 2004, dont un extrait est intégré dans l'arrêt du Tribunal criminel, a estimé à l'époque que " dans la mesure où, à sa sortie de prison, l'accusé peut se réinsérer dans un projet professionnel, il n'y a pas de raison de penser qu'il doive récidiver. Si ce projet échoue, par contre, il n'est pas exclu qu'il retombe dans la délinquance ". Le DINT n'explique pas pour quels motifs il s'écarte de cette expertise et considère que même si les projets professionnels allégués par le recourant se concrétisent, un risque de récidive existe. L'autorité intimée ne produit par exemple pas d'audition du recourant ou d'expertise psychiatrique récente de ce dernier. Le DINT n'a en fait procédé à aucune mesure d'instruction et s'est contenté de faire des présomptions à partir du comportement délictuel passé adopté par le recourant. Or, il est à espérer qu'après une aussi longue peine de détention, l'attitude du recourant a changé. Il appartenait en tout cas au DINT de le vérifier. Le DINT n'a pas non plus examiné si le recourant avait gardé des contacts avec son pays d'origine, qu'il a quitté depuis plus de 34 ans. La décision attaquée doit par conséquent être annulée et la cause renvoyée à l'autorité intimée pour nouvelle instruction et nouvelle décision.</w:t>
      </w:r>
    </w:p>
    <w:p>
      <w:r>
        <w:rPr>
          <w:b/>
        </w:rPr>
        <w:t>E. 5</w:t>
      </w:r>
    </w:p>
    <w:p>
      <w:r>
        <w:t>Vu l'issue de la procédure, les frais de justice doivent être laissés à la charge de l'Etat (art. 49 al. 1 er de la loi sur la procédure administrative, LPA-VD; RSV 173.36). Agissant par l'intermédiaire d'un mandataire professionnel désigné d'office, le recourant a en outre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