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PE.2009.0482 vom 24. Februar 2010</w:t>
      </w:r>
    </w:p>
    <w:p>
      <w:r>
        <w:t>VD Tribunal cantonal, 2010-02-24, FR</w:t>
      </w:r>
    </w:p>
    <w:p>
      <w:r>
        <w:rPr>
          <w:b/>
        </w:rPr>
        <w:t xml:space="preserve">Quelle: </w:t>
      </w:r>
      <w:r>
        <w:t>https://mcp.opencaselaw.ch/entscheid/vd_omni_PE.2009.0482</w:t>
      </w:r>
    </w:p>
    <w:p>
      <w:r>
        <w:t>FR: VD_OMNI PE.2009.0482 du 24 février 2010</w:t>
      </w:r>
    </w:p>
    <w:p>
      <w:r>
        <w:t>IT: VD_OMNI PE.2009.0482 del 24 febbraio 2010</w:t>
      </w:r>
    </w:p>
    <w:p>
      <w:pPr>
        <w:pStyle w:val="Heading2"/>
      </w:pPr>
      <w:r>
        <w:t>Regeste</w:t>
      </w:r>
    </w:p>
    <w:p>
      <w:r>
        <w:t>A. X.________ c/Service de la population (SPOP) | Recours contre la décision de révocation de l'autorisation de séjour de courte durée d'un ressortissant portugais toxicomane, condamné une peine privative de liberté de dix-huit mois, suspendue au profit d'une mesure thérapeutique (placement en institution). Il est à ce jour impossible d'évaluer si le recourant présentera une menace réelle, actuelle et suffisamment grave pour l'ordre public permettant de justifier une mesure de limitation de son droit de séjour en application de l'ALCP, lorsqu'il aura exécuté la mesure thérapeutique ou lorsqu'il aura subi sa peine de détention. Recours admis et décision annulée.</w:t>
      </w:r>
    </w:p>
    <w:p>
      <w:pPr>
        <w:pStyle w:val="Heading2"/>
      </w:pPr>
      <w:r>
        <w:t>Erwägungen</w:t>
      </w:r>
    </w:p>
    <w:p>
      <w:r>
        <w:rPr>
          <w:b/>
        </w:rPr>
        <w:t>E. 1</w:t>
      </w:r>
    </w:p>
    <w:p>
      <w:r>
        <w:t>Ressortissant portugais,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Selon l’art. 2 al. 2 de la loi fédérale du 16 décembre 2005 sur les étrangers (LEtr ; RS 142.20), cette dernière ne s’applique aux ressortissants des Etats membres de la Communauté européenne que si l’ALCP n’en dispose pas autrement ou si la LEtr prévoit des dispositions plus favorables. Tel n’est pas le cas en l'espèce et il convient dès lors d’examiner le recours exclusivement au regard des dispositions de l’ALCP.</w:t>
      </w:r>
    </w:p>
    <w:p>
      <w:r>
        <w:rPr>
          <w:b/>
        </w:rPr>
        <w:t>E. 2</w:t>
      </w:r>
    </w:p>
    <w:p>
      <w:r>
        <w:t>a) Selon l’art. 2 al. 1 de l’annexe I ALCP, les ressortissants d’une partie contractante ont le droit de séjourner et d’exercer une activité économique sur le territoire de l’autre partie contractante selon les modalités prévues aux chapitres II à IV. L’art. 5 de l’annexe 1 ALCP dispose cependant que: «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72/194/CEE (JO no L 121, 1972, p. 32) et 75/35/CEE (JO no L 14, 1975, p. 10). » Lorsque les autorités suisses appliquent l’ALCP, elles doivent tenir compte des directives susmentionnées et de la jurisprudence pertinente de la Cour de justice des Communautés européennes antérieure à la date de la signature de l’accord (art. 16 ALCP).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134 II 25 consid. 4.3.2 p. 30; 130 II 176 consid. 3.4.1 p.183/184; 129 II 215 consid. 7.3 p. 222 et les arrêts cités de la CJCE du 27 octobre 1977, Bouchereau, 30/77, Rec. 1977, p. 1999, points 33-35; du 19 janvier 1999, Calfa, C-348/96, Rec. 1999, p. I-11, points 23 et 25).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(ATF 130 II 493 consid. 3.2).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 129 II 215 consid. 7.4 p. 222). Une mesure d’ordre public n’est pas subordonnée à ce qu'il soit établi avec certitude que l'étranger commettra d'autres infractions à l'avenir; inversement, ce serait aller trop loin que d'exiger que le risque de récidive soit nul pour que l'on renonce à une mesure d'ordre public.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potentielle qui pourrait y être portée (ATF 2C_15/2009 du 17 juin 2009; ATF 130 II 493 consid. 3.3, 176 consid. 4.3.1). Cette appréciation se fera dans le cadre des garanties découlant de la Convention européenne des droits de l'homme ainsi qu'en tenant compte du principe de la proportionnalité (ATF 130 II 176 consid. 3.4.2 p. 184). La jurisprudence se montre particulièrement rigoureuse en matière de  stupéfiants (arrêt 2C_269/2007 du 8 octobre 2007 consid. 4.2; ATF 122 II 433 consid. 2c p. 436), la protection de la collectivité publique face au développement du marché de la drogue constituant incontestablement un intérêt public prépondérant justifiant l'éloignement d'un étranger qui s'est rendu coupable d'infraction grave à la loi sur les stupéfiants et les étrangers qui sont mêlés au commerce des stupéfiants devant s'attendre à faire l'objet de mesures d'éloignement (arrêts 2A.626/2004 du 6 mai 2005, consid. 5.2.2, et 2A.557/2005 du 21 octobre 2005, consid. 3.2). Toutefois, lorsque les condamnations de l'étranger en question sont toutes étroitement liées à sa toxicomanie et sanctionnent quasi exclusivement sa consommation personnelle, que celui-ci n'a mis sur le marché qu'une très faible quantité de stupéfiants, qu'il n'a pas fait usage de la violence, que son activité délictuelle ne s'est pas aggravée ni intensifiée au fil du temps, il n'est pas possible de soutenir que le comportement récidiviste de l'étranger constitue une menace réelle propre à affecter un intérêt fondamental de la société (arrêt 2C_625/2007 du 2 avril 2008 consid. 8.4). b) Selon le chiffre II 12.1.1 des Directives de l'ODM relatives à l'ALCP (état au 1 er juin 2009), d es mesures d’éloignement sont admissibles notamment en cas d'infractions ou de délits graves (parmi lesquels figurent les atteintes à l'intégrité physique et corporelle ou les infractions à la loi sur les stupéfiants, aux dispositions sur la traite d'êtres humains (passeurs) ou l'encouragement de l'entrée clandestine de ressortissants d'Etats tiers) et pour protéger la Suisse d'une menace concrète, par exemple pour éviter des perturbations futures de la sécurité et de l'ordre publics (protection des biens de police mis en péril par les "hooligans" ou par des manifestants violents) même s'ils n'ont pas encore commis d'actes incriminables (arrêt de la CJCE du 4 décembre 1974, dans l’affaire 41/74, Yvonne van Duyn, et arrêt du 27 octobre 1977, dans l’affaire 30/77, Bouchereau). c) Dans sa jurisprudence, le tribunal a confirmé la révocation de l'autorisation de séjour d'un ressortissant français condamné à plusieurs reprises depuis son arrivée en Suisse pour des infractions contre l’intégrité corporelle, conduite sans permis avec un taux d’alcoolémie trop élevé et infraction à la LStup, en retenant que le recourant représentait une menace réelle et actuelle pour l'ordre public: le risque de récidive concernant les actes de violence contre les personnes apparaissait en effet manifeste et sa toxico-dépendance impliquait le risque qu’il commette des délits destinés à assurer le financement de sa consommation, dès lors que ses propres ressources financières étaient précaires (PE.2009.0444 du 25 novembre 2009). De même, s'agissant d'un ressortissant portugais ayant commis de nombreuses infractions depuis 2005, notamment relatives à des atteintes portées à l'intégrité physique de tiers, ainsi qu'à la vente de stupéfiants et ayant récidivé peu de temps après avoir subi une première incarcération (PE.2008.0124 du 24 juillet 2008). En revanche, dans un arrêt PE.2007.0503 du 18 janvier 2008, le tribunal a accepté la demande de réexamen formulée par un délinquant multirécidiviste au vu de l'avis du juge d'exécution des peines, qui avait estimé que le risque de récidive, lié aux caractéristiques de la personnalité du recourant, à son isolement et à son désoeuvrement, pouvait être considéré comme "réduit" avec un bon encadrement, consistant dans l'accomplissement d'une formation professionnelle et dans son placement dans un foyer. Dans le cadre de la pesée des intérêts, le tribunal a relevé que le placement en foyer, qui conditionnait l'octroi de la libération conditionnelle, dépendait de l'octroi d'un titre de séjour. Compte tenu du fait que le risque de récidive était désormais considéré comme réduit par les autorités pénales, il n'y avait plus lieu de refuser de lui délivrer un titre de séjour pour des motifs d'ordre et de sécurité publics; grâce à cette autorisation, il pourrait bénéficier de la chance qui lui était offerte d'être placé en foyer et d'amorcer une nouvelle vie. Dans un arrêt récent (PE.2009.0532 du 25 janvier 2010), le Tribunal cantonal a considéré que ne présentait pas un danger pour l’ordre public qui justifiait de limiter son droit de séjourner en Suisse selon l’ALCP, un toxicomane ressortissant allemand, en Suisse depuis l’enfance, dont l’autorisation d’établissement s’est éteinte en raison d’un séjour à l’étranger, qui a été condamné à une peine de cinq ans de réclusion suspendue en faveur d’une mesure thérapeutique et dont le traitement évolue favorablement.</w:t>
      </w:r>
    </w:p>
    <w:p>
      <w:r>
        <w:rPr>
          <w:b/>
        </w:rPr>
        <w:t>E. 3</w:t>
      </w:r>
    </w:p>
    <w:p>
      <w:r>
        <w:t>La personne libérée conditionnellement peut être obligée de se soumettre à un traitement ambulatoire pendant le délai d’épreuve. L’autorité d’exécution peut ordonner, pour la durée du délai d’épreuve, une assistance de probation et lui imposer des règles de conduite.</w:t>
      </w:r>
    </w:p>
    <w:p>
      <w:r>
        <w:rPr>
          <w:b/>
        </w:rPr>
        <w:t>E. 4</w:t>
      </w:r>
    </w:p>
    <w:p>
      <w:r>
        <w:t>Si, à l’expiration du délai d’épreuve, il paraît nécessaire de poursuivre le traitement ambulatoire de la personne libérée conditionnellement ou de maintenir l’assistance de probation ou les règles de conduite pour prévenir le danger qu’elle commette d’autres crimes ou délits en relation avec son état, le juge peut, à la requête de l’autorité d’exécution, prolonger le délai d’épreuve: a. à chaque fois de un à cinq ans en cas de libération conditionnelle de la mesure prévue à l’art. 59; b. de un à trois ans en cas de libération conditionnelle d’une des mesures prévues aux art. 60 et 61. 5.  Le délai d’épreuve en cas de libération conditionnelle d’une des mesures prévues aux art. 60 et 61 ne peut excéder six ans au total.</w:t>
      </w:r>
    </w:p>
    <w:p>
      <w:r>
        <w:rPr>
          <w:b/>
        </w:rPr>
        <w:t>E. 4.1</w:t>
      </w:r>
    </w:p>
    <w:p>
      <w:r>
        <w:t>in RDAF 2005 I p. 641 ss ; PE 2008.0015 du 25 août 2008 consid. 5a). Par ailleurs, le recourant a certes vendu de la drogue pendant environ un an et demi mais les quantités écoulées se sont limitées au total à 20.27 grammes d'héroïne et l'ont été pour financer sa consommation personnelle. Sa faute est ainsi moins lourde que s'il avait été mû, par exemple, par un pur esprit de lucre, ou s'il avait participé à un important trafic de stupéfiants (ATF 2C_625/2007 du 2 avril 2008 consid. 8, ATF 2C_152/2007 et 2C_20/2008 du 22 avril 2008 consid. 5.1; ATF 2A.203/2001 du 13 juillet 2001 consid. 3c). Au vu de ce qui précède, il apparaît impossible, en l'état, d’évaluer si le recourant présentera une menace réelle, actuelle et suffisamment grave pour l'ordre public permettant de justifier une mesure de limitation de son droit de séjour en application de l’art. 5 al. 1 annexe I ALCP, lorsqu’il aura exécuté la mesure thérapeutique ou lorsqu’il aura subi sa peine de détention. L'autorité intimée devra évaluer la situation du recourant à l'issue de son traitement et prendre en considération l'ensemble des éléments, favorables et défavorables, qui parlent en faveur d'un renouvellement ou de la révocation de son autorisation de séjour. La décision de l'autorité intimée du 7 août 2009 doit ainsi être annulée. 5. Il résulte des considérants qui précèdent que le recours doit être admis et la décision attaquée annulée. Il y a lieu de laisser les frais de justice à la charge de l'Etat (art. 49 et 50 de la loi du 28 octobre sur la procédure administrative [LPA-VD; RSV 173.36]). Le recourant, qui n'a pas été assisté d'un mandataire professionnel, n'a pas droit à des dépens (art. 55 LPA-VD).</w:t>
      </w:r>
    </w:p>
    <w:p>
      <w:r>
        <w:rPr>
          <w:b/>
        </w:rPr>
        <w:t>E. 6</w:t>
      </w:r>
    </w:p>
    <w:p>
      <w:r>
        <w:t>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 Enfin, l’art. 62d traite de l’examen de la libération et de la levée de la mesure en ces termes : " 1.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2.  Si l’auteur a commis une infraction prévue à l’art. 64, al. 1,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 Les mesures de sûreté, qui ont pour vocation première la prévention des infractions futures, peuvent être définies comme une alternative aux peines classiques, qu'elles peuvent également accompagner, afin  de renforcer l'efficacité de la prévention spéciale (José Hurtado Pozo, Droit pénal, Partie générale, Nouvelle édition refondue et augmentée, Staempfli, Berne, 2008, n°1612 ss). Le traitement des addictions doit être adapté aux besoins particuliers de l'auteur et à l'évolution de son état. Eu égard au fait que la réinsertion sociale de la personne concernée dépend fréquemment de ses chances professionnelles, il faut tenir compte de sa formation et de son perfectionnement professionnel ( Ibidem , n° 1633). L'application des mesures de sûreté peut s'achever par la libération conditionnelle (art. 62 al. 1 CP). Le juge doit l'ordonner dès que l'état personnel de l'auteur justifie qu'on lui donne la possibilité de faire ses preuves en liberté, c'est-à-dire montrer que le traitement a été efficace et, partant, qu'il ne faut plus craindre qu'il commette de nouvelles infractions en lien avec son état personnel ( Ibid. n° 1640.) 4. En l'espèce, le recourant a été condamné à une peine privative de liberté de dix-huit mois par jugement du Tribunal correctionnel de l'arrondissement de la Broye et du Nord vaudois du 2 mars 2009. Ce dernier a estimé qu'il était exclu de poser un pronostic favorable quant au comportement de l'accusé et l'expert a évalué le risque de récidive important. Le tribunal a toutefois relevé que l'accusé souhaitait un traitement thérapeutique, afin d'apprendre à vivre sans dépendance aux produits stupéfiants et qu'il semblait motivé. Conscient de ses failles, l'accusé a déclaré lors de l'audience pénale, qu'un traitement ambulatoire lui semblait voué à l'échec et que, désormais, il ne voyait que la possibilité d'un traitement institutionnel. Egalement entendue à cette occasion, la sœur de l'accusé a déclaré qu'il était très décidé et motivé à entreprendre un traitement en institution et que sa famille le soutiendrait dans ses démarches. La peine a ainsi été suspendue en faveur d'une mesure de traitement institutionnel. Le recourant a expliqué, dans son acte de recours contre la décision du SPOP du 7 août 2009, qu'il allait suivre une cure de désintoxication à la fondation B.________ à 1******** dès le 1 er septembre 2009. Celle-ci a indiqué, le 21 août 2009, qu'il pourrait bénéficier utilement d'un traitement de sa toxicomanie. Le recourant a encore précisé, dans sa lettre du 23 septembre 2009, que la durée serait environ d'une année et qu'il entreprendrait ensuite une réinsertion professionnelle. Interpellée, l’autorité intimée a précisé en cours de procédure que lorsqu’elle ordonne à un ressortissant étranger de quitter la Suisse, dès qu’il aura satisfait à la justice vaudoise, cela signifie qu’il devra partir dès sa libération de prison ; s’il bénéficie de la libération conditionnelle, il devra quitter la Suisse dès cet instant (cf. lettre du 6 octobre 2009). Cette indication paraît claire s’agissant d’étrangers condamnés à une peine ferme privative de liberté. Sa portée est en revanche floue, s’agissant de condamnés au bénéfice d’une mesure au sens des art. 56 à 65 CP. En effet, lorsque le juge pénal prononce une mesure thérapeutique, le juge d’application des peines dispose d’un large éventail de possibilités. Il peut libérer conditionnellement le condamné de la mesure prononcée en raison d’une addiction en lui fixant un délai d’épreuve et en imposant un traitement ambulatoire, une assistance de probation ou des règles de conduites (art. 62 al. 1 à 3 CP). Ensuite, il pourra lever définitivement la mesure et libérer le condamné. Celui-ci peut ainsi ne jamais exécuter la peine privative de liberté qui a été prononcée à son encontre et qui a été suspendue au profit du placement en institution (cf. art. 62b CP). Dans cette hypothèse, l’intéressé ne satisfait jamais à la justice vaudoise au sens de la décision entreprise. Si la mesure échoue ou si sa poursuite paraît vouée à l’échec, l’intéressé purgera sa peine (art. 62c al. 1 lit. a CP). Mais le juge peut également ordonner alors une nouvelle mesure ou un internement (art. 62c al. 3 et 4 CP).  Au demeurant, le traitement en institution en raison d’une addiction peut durer jusqu’à six ans (art. 60 al. 4 CP). Ainsi, ce n’est qu’après de nombreuses années qu’il est possible de savoir si le condamné purgera ou non la peine de privation de liberté qui a été prononcée à son encontre. La décision du SPOP est ainsi suspendue à la réalisation d’une condition, qui peut-être ne se réalisera pas ou seulement dans des années. Or, l’autorité doit tenir compte lorsqu’elle prononce un renvoi de toutes les circonstances du cas au moment où elle statue. S’agissant d’un toxicomane placé en institution, celles-ci ne peuvent qu’évoluer. On ignore en effet tout, à ce jour, des résultats futurs du traitement entrepris, ainsi que des véritables chances de réinsertion sociales et professionnelles du recourant. Certes, le pronostic était, selon le jugement du 2 mars 2009, défavorable, mais celui-ci tenait au fait que, toxicomane, le recourant risquait vraisemblablement de commettre de nouvelles infractions en lien avec sa consommation de stupéfiants. Le recourant semble désormais motivé à se soigner et a entrepris un traitement en milieu institutionnel. A supposer que ce traitement aboutisse à des résultats positifs et qu'il parvienne à se sevrer de sa dépendance, le risque de récidive sera très fortement atténué. Ainsi, la décision entreprise est prématurée. Elle l’est d’autant plus que le recourant n’a pas subi de condamnation à une peine de deux ans de privation de liberté, qui constitue la limite à partir de laquelle, en général, il y a lieu de refuser une autorisation, du moins quand il s'agit d'une demande d'autorisation initiale ou d'une requête de prolongation déposée après un séjour de courte durée. On rappelle toutefois qu’il s’agit là d’une valeur indicative qui n’est au surplus valable que pour les conjoints étrangers d’un ressortissant suisse (ou d’une personne titulaire d’une autorisation d’établissement; voir ATF 130 II 176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