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PE.2009.0468 vom 7. Dezember 2009</w:t>
      </w:r>
    </w:p>
    <w:p>
      <w:r>
        <w:t>VD Tribunal cantonal, 2009-12-07, FR</w:t>
      </w:r>
    </w:p>
    <w:p>
      <w:r>
        <w:rPr>
          <w:b/>
        </w:rPr>
        <w:t xml:space="preserve">Quelle: </w:t>
      </w:r>
      <w:r>
        <w:t>https://mcp.opencaselaw.ch/entscheid/vd_omni_PE.2009.0468</w:t>
      </w:r>
    </w:p>
    <w:p>
      <w:r>
        <w:t>FR: VD_OMNI PE.2009.0468 du 7 décembre 2009</w:t>
      </w:r>
    </w:p>
    <w:p>
      <w:r>
        <w:t>IT: VD_OMNI PE.2009.0468 del 7 dicembre 2009</w:t>
      </w:r>
    </w:p>
    <w:p>
      <w:pPr>
        <w:pStyle w:val="Heading2"/>
      </w:pPr>
      <w:r>
        <w:t>Regeste</w:t>
      </w:r>
    </w:p>
    <w:p>
      <w:r>
        <w:t>X. c/Service de la population (SPOP) | Recours contre la décision du SPOP constatant l'extinction de l'autorisation de séjour CE/AELE d'un ressortissant camerounais, marié à une française titulaire d'une autorisation d'établissement, confirmé. Depuis l'été 2009, le recourant ne vit plus avec son épouse et l'existence d'un espoir concret de réconciliation n'est pas établi. Trois de ses enfants sont en outre retournés au Cameroun et le recourant n'a pas démontré entretenir des relations étroites avec ses autres enfants vivant encore en Suisse. Enfin, le fait qu'il soit administrateur, président directeur général d'une succursale de société, laquelle se trouve dans le canton, ne joue aucun rôle déterminant. Cela étant, le recourant ne peut valablement prétendre avoir conservé le centre de ses intérêts dans notre pays.</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w:t>
      </w:r>
    </w:p>
    <w:p>
      <w:r>
        <w:rPr>
          <w:b/>
        </w:rPr>
        <w:t>E. 2</w:t>
      </w:r>
    </w:p>
    <w:p>
      <w:r>
        <w:t>a) A l’ appui de la décision attaquée, le SPOP invoque l’art. 61 al. 2 LEtr qui dispose que si un étranger quitte la Suisse sans déclarer son départ, l’autorisation de séjour prend automatiquement fin après six mois. Les directives de l’Office fédéral des migrations (ci-après : les directives) relatives à la LEtr, respectivement à la fin de l’autorisation de séjour (ch. 3.3.3.), disposent ce qui suit : « Le séjour dans un canton ou en Suisse est réputé terminé si l’étranger transfère le centre de ses intérêts personnels à l’étranger (art 67 OASA).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(ancien droit : ATF non publié du 18 août 1993 dans la cause S., 2A.126/1993). En ce qui concerne les étrangers appelés à de fréquents déplacements hors de Suisse (hommes d’affaires, artistes, sportifs, monteurs, etc.), il peut être dérogé à cette exigence dans la mesure où le centre de leurs intérêts demeure en Suisse (relations familiales, sociales et privées). Tel est le cas lorsque ces personnes possèdent des attaches plus importantes en Suisse qu’à l’étranger, notamment lorsque la famille réside effectivement dans notre pays (cf. aussi chiffre 3.1.8.2 concernant les résidents hebdomadaires) ». Le SPOP soutient, en se fondant sur le procès-verbal d’audition de l’épouse du recourant du 1 er juin 2008 et sur la correspondance de cette dernière du 22 janvier 2009, que le couple n’a jamais fait vie commune et que le recourant séjourne principalement à l’étranger. Outre le chiffre 3.3.3. des directives, on pourrait se demander si la décision du SPOP ne pourrait pas également se fonder par analogie sur la jurisprudence du Tribunal fédéral en matière d’autorisation d’établissement rendue sous l’empire de l’art. 9 al.3 let.c de l’ancienne loi fédérale du 26 mars 1931 sur le séjour et l’établissement des étrangers (LSEE), qui stipulait que cette autorisation prenait fin lorsque l’étranger annonçait son départ ou qu’il avait séjourné effectivement pendant six mois à l’étranger. Le Tribunal fédéral avait relevé que, pour faciliter l’application de cette disposition, le législateur avait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d’établissement prenait ainsi fin, quelles que soient les causes de cet éloignement et les motifs de l’intéressé (ATF 2A.129. 2001 du 19 juin 2001 ; ATF 120 Ib 369 consid. 2c p. 372; ATF 112 Ib 1, c. 2a p. 2). Dans l’ ATF 120 Ib 369, le Tribunal fédéral avait examiné si le séjour à l’étranger devait durer six mois consécutivement ou si l’autorisation d’établissement prenait également fin lorsque l’étranger passait l’essentiel de son temps hors de Suisse, sans jamais y rester plus de six mois consécutivement, revenant en Suisse pour une période relativement brève. Il avait alors considéré ce qui suit : « On voit mal, dans ce cas, qu’une autorisation d’établissement puisse subsister, même si l’étranger garde un appartement en Suisse. Dans de telles conditions, il faut considérer que le délai de six mois prévu à l’art. 9 al. 3 lettre c LSEE n’est pas interrompu lorsque l’étranger revient en Suisse avant l’échéance de ce délai non pas durablement, mais uniquement pour des séjours d’affaires ou de visite ». b) Dans un arrêt très récent (PE.2009.0342 du 8 octobre 2009), le tribunal de céans a admis le recours d’un étranger, titulaire d’un permis de séjour travaillant et résidant en Allemagne depuis plus de six mois, dirigé contre la révocation de son autorisation. Il a fait une application analogique du ch. 3.1.8.2 des directives relatives aux résidents hebdomadaires (art. 16 de l’ordonnance du Conseil fédéral du 24 octobre 2007 relative à l’admission, au séjour et à l’exercice d’une activité lucrative,OASA ; RS 142.201), qui ne s’applique formellement qu’aux étrangers qui travaillent ou étudient dans un canton autre que celui qui leur a délivré une autorisation de séjour, en admettant que ce régime particulier s’appliquait également en présence d’un « résident hebdomadaire » travaillant à l’étranger. Le tribunal a donc estimé que l’intéressé, qui travaillait la semaine en Allemagne mais rentrait tous les week-ends pour rejoindre son épouse dans l’appartement vaudois, n’avait pas quitté la Suisse et que son autorisation de séjour ne pouvait prendre fin en vertu de l’art. 61 al. 2 LEtr. c) Dans le cas présent, le recourant affirme avoir conservé le centre de ses intérêts dans notre pays. Or depuis à tout le moins l’été 2009 (cf. réponse du recourant à la demande en annulation de mariage), il ne vit plus avec son épouse et il n’a pas établi l’existence d’un espoir sérieux de réconciliation, quand bien même il affirme vouloir reprendre la vie commune. On relèvera à cet égard que le seul document sur lequel il se fonde pour tenter de prouver qu’il aurait conservé le centre de ses intérêts dans notre pays est une attestation de communauté de vie établie, d’une part en juillet 2007, et par une préfecture française, d’autre part. On ne voit guère dès lors comment cette attestation pourrait avoir une quelconque portée en faveur de ses allégations. Au surplus, ses trois enfants sont retournés au Cameroun en novembre 2006, soit il y a près de deux ans, et l’intéressé ne prétend pas entretenir des relations étroites avec ses autres enfants, dont il n’est nullement établi au demeurant qu’ils vivent en Suisse. De même, le recourant n’a pas démontré avoir d’autres relations (familiales ou autres) suffisamment importantes pour en déduire que le centre de ses intérêts seraient toujours dans notre pays. Quant à ses activités professionnelles par l’intermédiaire de la succursale de sa société à 1.************, elles ne sont pas non plus déterminantes. Le fait qu’il soit administrateur, président directeur général de cette succursale ne joue à cet égard aucun rôle. Enfin, dans sa lettre du 29 janvier 2009, Y.____________ déclare que son mari et elle n’auraient jamais passé plus d’un mois consécutif ensemble. Même si ces affirmations ont été exposées dans le cadre d’une demande en annulation de mariage, subsidiairement en divorce, soit dans une situation conflictuelle entre époux, elles constituent néanmoins un indice supplémentaire en faveur de la position adoptée par l’autorité intimée. Dans ces conditions, la jurisprudence mentionnée ci-dessus ne saurait s’appliquer au cas du recourant, qui ne peut en aucun cas être assimilé à un « résident hebdomadaire » travaillant à l’étranger.</w:t>
      </w:r>
    </w:p>
    <w:p>
      <w:r>
        <w:rPr>
          <w:b/>
        </w:rPr>
        <w:t>E. 3</w:t>
      </w:r>
    </w:p>
    <w:p>
      <w:r>
        <w:t>Indépendamment de ce qui précède, la décision s’avère également fondée au regard de ce qui suit. a) Selon l'art. 2 al. 2 LEtr,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(entré en vigueur le 1 er juin 2002 ; ci-après : ALCP ; RS 0.142.112.681) n'en dispose pas autrement ou si ladite loi prévoit des dispositions plus favorables. b) En vertu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c) Le Tribunal fédéral s'est prononcé sur la portée de cette disposition (ATF 130 II 113).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en ce qui concerne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d) En l’espèce, comme exposé ci-dessus, le couple est séparé à tout le moins depuis l’été 2009 et l’épouse du recourant a ouvert action en annulation de mariage, subsidiairement en divorce. A lire le contenu de sa lettre du 22 janvier 2009, on ne voit pas qu’une reprise de la vie commune des époux soit probable. Il est donc patent que le mariage du recourant est vidé de sa substance, de sorte qu’il ne peut plus s’en prévaloir pour obtenir le maintien de son autorisation de séjour CE/AELE.</w:t>
      </w:r>
    </w:p>
    <w:p>
      <w:r>
        <w:rPr>
          <w:b/>
        </w:rPr>
        <w:t>E. 4</w:t>
      </w:r>
    </w:p>
    <w:p>
      <w:r>
        <w:t>Les considérants qui précèdent conduisent au rejet du recours et à la confirmation de la décision entreprise. Vu l’issue du pourvoi, les frais du présent arrêt seront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