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PE.2009.0465 vom 14. Oktober 2009</w:t>
      </w:r>
    </w:p>
    <w:p>
      <w:r>
        <w:t>VD Tribunal cantonal, 2009-10-14, FR</w:t>
      </w:r>
    </w:p>
    <w:p>
      <w:r>
        <w:rPr>
          <w:b/>
        </w:rPr>
        <w:t xml:space="preserve">Quelle: </w:t>
      </w:r>
      <w:r>
        <w:t>https://mcp.opencaselaw.ch/entscheid/vd_omni_PE.2009.0465</w:t>
      </w:r>
    </w:p>
    <w:p>
      <w:r>
        <w:t>FR: VD_OMNI PE.2009.0465 du 14 octobre 2009</w:t>
      </w:r>
    </w:p>
    <w:p>
      <w:r>
        <w:t>IT: VD_OMNI PE.2009.0465 del 14 ottobre 2009</w:t>
      </w:r>
    </w:p>
    <w:p>
      <w:pPr>
        <w:pStyle w:val="Heading2"/>
      </w:pPr>
      <w:r>
        <w:t>Regeste</w:t>
      </w:r>
    </w:p>
    <w:p>
      <w:r>
        <w:t>A.X.________, B.Y.________, C.Z.________ et D.Z.________ c/Service de la population (SPOP) | Famille de clandestins, d'origine équatorienne, intégrés en Suisse où ils vivent depuis de nombreuses années. La durée de leur séjour n'est pas en tant que telle constitutive d'un cas de détresse personnelle et cela ne suffit pas pour exclure le retour dans le pays d'origine, selon la jurisprudence. En l'espèce, les recourants ne se trouvent pas dans un cas individuel d'extrême gravité. Décision de renvoi du SPOP confirmée. Recours rejeté.</w:t>
      </w:r>
    </w:p>
    <w:p>
      <w:pPr>
        <w:pStyle w:val="Heading2"/>
      </w:pPr>
      <w:r>
        <w:t>Erwägungen</w:t>
      </w:r>
    </w:p>
    <w:p>
      <w:r>
        <w:rPr>
          <w:b/>
        </w:rPr>
        <w:t>E. 1</w:t>
      </w:r>
    </w:p>
    <w:p>
      <w:r>
        <w:t>Les recourants ne peuvent se prévaloir d'aucune disposition du droit interne ou d'une convention internationale leur octroyant un droit de séjour en Suisse.</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Les considérants qui précèdent conduisent au rejet du recours aux frais de leurs auteurs (art. 49 LPA-VD). Vu l'issue du pourvoi, le SPOP est chargé de fixer un nouveau délai de départ aux recourants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