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PE.2009.0454 vom 15. Februar 2010</w:t>
      </w:r>
    </w:p>
    <w:p>
      <w:r>
        <w:t>VD Tribunal cantonal, 2010-02-15, FR</w:t>
      </w:r>
    </w:p>
    <w:p>
      <w:r>
        <w:rPr>
          <w:b/>
        </w:rPr>
        <w:t xml:space="preserve">Quelle: </w:t>
      </w:r>
      <w:r>
        <w:t>https://mcp.opencaselaw.ch/entscheid/vd_omni_PE.2009.0454</w:t>
      </w:r>
    </w:p>
    <w:p>
      <w:r>
        <w:t>FR: VD_OMNI PE.2009.0454 du 15 février 2010</w:t>
      </w:r>
    </w:p>
    <w:p>
      <w:r>
        <w:t>IT: VD_OMNI PE.2009.0454 del 15 febbraio 2010</w:t>
      </w:r>
    </w:p>
    <w:p>
      <w:pPr>
        <w:pStyle w:val="Heading2"/>
      </w:pPr>
      <w:r>
        <w:t>Regeste</w:t>
      </w:r>
    </w:p>
    <w:p>
      <w:r>
        <w:t>A. X.________ Y.________ c/Service de la population (SPOP) | Le ressortissant camerounais qui vit séparé de son épouse suisse parce que le couple, après avoir été expulsé de son logement pour défaut de paiement du loyer, n'a pas retrouvé à se loger dans un appartement commun suffisamment grand pour des raisons financières (conjoint suisse obéré) et de police des étrangers (les bailleurs exigeant des locataires titulaires de permis B comme en l'espèce un garant dont le recourant ne dispose pas) mais a dû se résoudre à occuper deux studios, respectivement à Lutry et à Avenches, sans que l'existence d'une mésentente ne soit prouvée, se trouve dans une situation qui justifie une dérogation à l'exigence du ménage commun. Dès lors que le recourant séjourne en Suisse légalement et de manière ininterrompue depuis plus de 5 ans, il a droit à une autorisation d'établissement. Recours admis, décision annulée et dossier renvoyé au SPOP pour qu'il délivre le permis C.</w:t>
      </w:r>
    </w:p>
    <w:p>
      <w:pPr>
        <w:pStyle w:val="Heading2"/>
      </w:pPr>
      <w:r>
        <w:t>Erwägungen</w:t>
      </w:r>
    </w:p>
    <w:p>
      <w:r>
        <w:rPr>
          <w:b/>
        </w:rPr>
        <w:t>E. 1</w:t>
      </w:r>
    </w:p>
    <w:p>
      <w:r>
        <w:t>Le dispositif de la décision attaquée contient une partie "principale" et une partie "subsidiaire". Sur le plan formel, cette terminologie n'a pas sa place dans une décision administrative, ni d'ailleurs dans une décision judiciaire. La pratique l'utilise pour exprimer une distinction entre les conclusions des parties selon que celles-ci les réclament à titre principal ou à titre subsidiaire: les conclusions subsidiaires n'entrent en considération que pour le cas où les conclusions principales ne seraient pas allouées. Comme une décision administrative doit fixer les droit et obligations des parties (art. 3 LPA-VD), elle ne saurait contenir une telle alternative. Sur le plan matériel également, c'est à tort que l'autorité intimée, en tant qu'elle admet de faire bénéficier le recourant de l'art. 50 LEtr, croit devoir révoquer son autorisation de séjour pour lui en délivrer une nouvelle dans un second temps. Le tribunal a jugé récemment qu'une telle solution est contraire au texte légal. En effet, l’application de l’art. 50 al. 1 let. b LEtr prolonge les effets de l’autorisation de séjour qui devrait sans cela être révoquée; cela ressort de cette disposition elle-même qui dit que le droit à l’autorisation de séjour et à la prolongation de celle-ci subsiste . Si le droit subsiste, l’autorisation de séjour ne peut pas être révoquée. A défaut, le recourant, jusqu’à ce que l’ODM ait statué sur l’approbation, se verrait privé de tout titre de séjour en Suisse (et, partant, exposé à une mesure de renvoi selon l’art. 66 al. 1 LEtr) - alors même que le SPOP considère qu’il existe des motifs de renouveler l’autorisation de séjour. La seule solution conforme à la loi est de renouveler l’autorisation de séjour (PE.2009.0587 du 21 décembre 2009).</w:t>
      </w:r>
    </w:p>
    <w:p>
      <w:r>
        <w:rPr>
          <w:b/>
        </w:rPr>
        <w:t>E. 2</w:t>
      </w:r>
    </w:p>
    <w:p>
      <w:r>
        <w:t>Le recourant, qui réclame une autorisation d'établissement, conteste qu'il y ait lieu d'appliquer l'art. 50 LEtr en faisant valoir que la communauté conjugale est maintenue et que des raisons majeures justifient l'existence de domiciles séparés. Le conjoint d'un ressortissant suisse a droit à l'octroi d'une autorisation de séjour et à la prolongation de sa durée de validité à condition de vivre en ménage commun avec lui (art. 42 al. 1 LEtr). L’exigence du ménage commun prévue aux art. 42 à 44 LEtr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du 24 octobre 2007 relative à l'admission, au séjour et à l'exercice d'une activité lucrative [OASA; RS 142.201] ) . Le message du Conseil fédéral du 8 mars 2002 concernant le projet de loi sur les étrangers (FF 2002 p. 3510) rappelle que contrairement à la réglementation découlant de l'ancienne la loi fédérale du 26 mars 1931 sur le séjour et l'établissement des étrangers (aLSEE) abrogée le 1 er janvier 2008 par la LEtr, le projet de loi subordonne le droit à l'octroi et à la prolongation de l'autorisation de séjour du conjoint étranger d'un citoyen suisse à la cohabitation des conjoints, soit un statut équivalent à celui du conjoint étranger d'un titulaire de l'autorisation d'établissement sous le régime de la LSEE. Selon le message, l'octroi d'un droit au séjour implique donc l'existence effective d'une relation conjugale et la volonté de la conserver. Demeure expressément réservée la possibilité d'élire un domicile séparé selon le droit du mariage et ce pour des motifs professionnels ou pour d'autres motifs importants et compréhensibles. Il indique qu'en règle générale, l'absence de communauté conjugale sans motif plausible constitue un indice important de mariage de complaisance. b) En l'espèce, le recourant et son épouse ont vécu dans le même appartement, entre le 1 er mars 2005 et le 15 juillet 2008 à 2******** et ensuite, depuis lors et jusqu'à l'automne 2008 à 1********, date à laquelle l'épouse du recourant s'est établie à 5********. Le recourant expose que cette situation est due à la situation financière du couple, qui l'empêche de conclure un contrat de bail pour un appartement plus grand. Les documents produits attestent que le recourant a fait des recherches pour un logement entre 2,5 et 3,5 pièces au moment où le couple a dû quitter celui de 2******** d'où il était expulsé pour défaut de paiement du loyer. Deux courriels récents montrent que le recourant poursuit ses recherches. Les difficultés financières de l'épouse du recourant sont avérées : cette dernière fait l'objet de nombreuses poursuites et ne dispose pour revenus que d'une rente partielle de l'assurance invalidité et de la recette de la vente des produits qu'elle offre sur les marchés. La situation financière du recourant est meilleure, même s'il n'est pas à jour dans le paiement de ses impôts et fait l'objet d'une importante poursuite, ce qui explique sans doute qu'il ne puisse prétendre à la location d'un appartement subventionné. Le fait qu'il soit au bénéfice d'un permis de séjour constitue un obstacle considérable pour trouver un logement, les gérances exigeant que l'intéressé dans cette situation présente un garant, ce qu'en l'occurrence le recourant n'est manifestement pas en état de faire, vu la situation financière de son épouse. A toutes ces difficultés s'ajoutent celle, notoire, d'un marché locatif extrêmement tendu dans le canton de Vaud. L'autorité intimée objecte que conclure un contrat pour un appartement plus grand reviendrait moins cher que louer deux studios. Le recourant ne le conteste pas, mais il faut surtout retenir qu'en l'état du marché du logement, il est notoire qu'il est plus facile de louer des studios que des appartements de 2,5 à 3,5 pièces (pénurie relative) et la solvabilité du recourant joue également un rôle de ce point de vue. Les recherches pour se reloger après le congé reçu pour l'appartement de 2******** n'ont pas abouti et le recourant a dû louer un studio à 1********. Cette location a pu se faire semble-t-il grâce à l'aide d'une amie travaillant dans une gérance. La location est prévue pour une personne et le bailleur entend que le recourant se conforme à cette clause du contrat. Cet appartement est quoiqu'il en soit trop petit pour deux et l'épouse du recourant a recouru à l'aide d'un compatriote pour pouvoir louer un autre studio à 5******** et notamment disposer de la cuisine qui lui permet de confectionner les préparations qu'elle vend sur les marchés. L'autorité intimée fait remarquer que cet éloignement ne plaide pas en faveur de la preuve du maintien de la communauté conjugale. Or, manifestement cet éloignement n'est pas voulu. Les époux ont confirmé lors de leurs auditions devant la police qu'ils formaient toujours un couple et qu'ils se voyaient souvent au domicile de l'un ou de l'autre. Le recourant a du reste annoncé à sa gérance que son épouse vivait auprès de lui trois à quatre jours par semaine. Dans ces circonstances, il n'est pas démontré que la séparation des époux soit due à une mésentente et que la relation conjugale ne serait plus effectivement vécue. Aucun élément ne tend à prouver le contraire. Le fait que le rapport de renseignements de la police mentionne que, d'après le voisinage, l'épouse n'aurait pas été aperçue à l'adresse du recourant n'est pas déterminant, le recourant ne prétendant pas que le couple vit chaque jour ensemble. Enfin, les conjoints n'ont pas requis de mesures protectrices de l'union conjugale dans le but d'être autorisés à vivre séparés. Et la cour n'a pas connaissance de l'existence d'une procédure de divorce. En définitive, les obstacles rencontrés par le recourant et son épouse pour se reloger dans un appartement suffisamment grand pour les abriter tous les deux, qui plus est après un congé reçu pour défaut de paiement du loyer, vu leurs problèmes financiers doivent être considérés comme des motifs importants justifiant que le couple ait des domiciles séparés. Par conséquent, le mariage du recourant conserve sa substance et des raisons majeures d'ordre financier et de police des étrangers justifient l'existence de domiciles séparés au sens de l'art. 49 LEtr. Partant, la décision attaquée refusant de renouveler l'autorisation de séjour du recourant en raison de sa séparation d'avec son épouse doit être annulée. Si des raisons majeures justifient, comme en l'espèce, une dérogation à l’exigence du ménage commun, le droit à l’octroi d’une autorisation d’établissement, selon l'art. 42 al. 3 LEtr, est maintenu. Le recourant séjourne en Suisse légalement et de manière ininterrompue depuis plus de cinq ans désormais, de sorte qu'il a droit à une telle autorisation. Le dossier doit donc être renvoyé au SPOP pour qu'il délivre un permis d'établissement au recourant.</w:t>
      </w:r>
    </w:p>
    <w:p>
      <w:r>
        <w:rPr>
          <w:b/>
        </w:rPr>
        <w:t>E. 3</w:t>
      </w:r>
    </w:p>
    <w:p>
      <w:r>
        <w:t>Les considérants qui précèdent conduisent à l'admission du recours, aux frais de l'Etat. Le recourant, qui n'est pas assisté par 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