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PE.2009.0404 vom 12. Oktober 2009</w:t>
      </w:r>
    </w:p>
    <w:p>
      <w:r>
        <w:t>VD Tribunal cantonal, 2009-10-12, FR</w:t>
      </w:r>
    </w:p>
    <w:p>
      <w:r>
        <w:rPr>
          <w:b/>
        </w:rPr>
        <w:t xml:space="preserve">Quelle: </w:t>
      </w:r>
      <w:r>
        <w:t>https://mcp.opencaselaw.ch/entscheid/vd_omni_PE.2009.0404</w:t>
      </w:r>
    </w:p>
    <w:p>
      <w:r>
        <w:t>FR: VD_OMNI PE.2009.0404 du 12 octobre 2009</w:t>
      </w:r>
    </w:p>
    <w:p>
      <w:r>
        <w:t>IT: VD_OMNI PE.2009.0404 del 12 ottobre 2009</w:t>
      </w:r>
    </w:p>
    <w:p>
      <w:pPr>
        <w:pStyle w:val="Heading2"/>
      </w:pPr>
      <w:r>
        <w:t>Regeste</w:t>
      </w:r>
    </w:p>
    <w:p>
      <w:r>
        <w:t>A.X.________ et B.X.________ c/Département de l'intérieur, Service de la population (SPOP) | Confirmation de la révocation de l'autorisation d'établissement délivrée à un ressortissant kosovar vivant depuis dix-sept ans en Suisse condamné à de nombreuses reprises, la dernière fois en 2008 à une peine privative de liberté de cinq ans pour crime contre la LStup. L'intérêt public à l'éloigner de Suisse apparaît ici dans toute son évidence. Le développement de ses enfants n'apparaît en revanche nullement mis en péril, dès lors que son épouse, qui vit également en Suisse, n'est pas touchée par cette révocation.</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DINT.</w:t>
      </w:r>
    </w:p>
    <w:p>
      <w:r>
        <w:rPr>
          <w:b/>
        </w:rPr>
        <w:t>E. 2</w:t>
      </w:r>
    </w:p>
    <w:p>
      <w:r>
        <w:t>Les recourants ont requis la tenue d’une audience de jugement. Ils ont également requis l’audition de leurs enfants, invoquant à cet égard l’art. 12 § 2 de la Convention du 20 novembre 1989 relative aux droits de l’enfant (RS 0.107), à teneur duquel l’enfant capable de discernement doit avoir la possibilité d’être entendu dans toute procédure judiciaire ou administrative l’intéressant, soit directement, soit par l’intermédiaire d’un représentant ou d’un organisme approprié, de façon compatible avec les règles de procédure de la législation nationale.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LPA-VD).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peut se dispenser de l’audience réclamée par les recourants et s’en tenir à une procédure exclusivement écrite. Le litige a trait à des questions d’ordre exclusivement juridique, que le tribunal examine avec un plein pouvoir d’examen (art. 76 LPA-VD). Quant à l’art. 12 § 2 de la Convention sur les droits de l’enfant, cette disposition n’exige pas que l’enfant s’exprime nécessairement par oral, mais qu’il soit entendu d'une manière appropriée. En fonction des questions à aborder ou selon les circonstances, une déclaration écrite, établie par l’intermédiaire d’un représentant cas échéant, peut suffire (cf. Alexandra Rumo-Jungo/Marc Spescha, Kindeswohl, Kindesanhörung und Kindeswille in ausländerrechtlichen Kontexten, in AJP/PJA 9/2009, p. 1103 et ss, not. 1106-1107, références citées). Or, B.X.________ a, notamment, fait valoir les conséquences désastreuses que pourrait entraîner la décision attaquée pour le développement de ses quatre enfants, étant précisé que son intérêt à l’annulation de la décision attaquée converge avec celui de ses enfants à cette même annulation, de sorte que la validité de sa représentation n’est pas sujette à caution. Dès lors, par appréciation anticipée des preuves, le Tribunal s’estime en mesure de statuer en connaissance de cause, en se dispensant de l’audience dont la tenue est réclamée par les recourants.</w:t>
      </w:r>
    </w:p>
    <w:p>
      <w:r>
        <w:rPr>
          <w:b/>
        </w:rPr>
        <w:t>E. 3</w:t>
      </w:r>
    </w:p>
    <w:p>
      <w:r>
        <w:t>LEtr). L’art. 63 LEtr prévoit que l’autorisation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 a) Aux termes de l’art. 62 LEtr, l’autorité compétente peut révoquer une autorisation,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64 ou 61 du code pénal (let. b). L’art. 80 de l’ordonnance fédérale relative à l’admission, au séjour et à l’exercice d’une activité lucrative du 24 octobre 2007 (OASA; RS 142.201)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Par ailleurs, l’art. 96 al. 1 LEtr dispose que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(ibid., al. 2). b) Les motifs de révocation des articles 62 et 63 LEtr résultent de la modification ultérieure de circonstances de fait imputables à l’administré (v. Pierre Moor, Droit administratif, vol. II, 2 ème éd., Berne 2002, n° 2.4.3.2). Ils correspondent en grande partie aux motifs d’expulsion prévus par l’art. 10 LSEE, en vigueur jusqu’au 31 décembre 2007 (cf. le message du Conseil fédéral du 8 mars 2002 concernant la loi sur les étrangers, in FF 2002 3469, 3518, relatif à l’art. 62 du projet LEtr, devenu l’art. 63 du texte légal final). La jurisprudence développée sous l’empire de la loi fédérale sur le séjour et l’établissement des étrangers (LSEE; en vigueur jusqu’au 31 décembre 2007) peut donc s’appliquer mutatis mutandis à l’art. 63 LEtr.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(ATF 129 II 215 consid. 3.1 p. 216; 120 Ib 6 consid. 4c p. 15 s.). Le Tribunal fédéral a précisé à de nombreuses reprises qu’une condamnation à une peine privative de liberté de deux ans justifiait généralement une expulsion administrative (ATF 125 II 521; 122 II 433).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(ATF 134 II 10 consid. 4.3 p. 24; 130 II 176 consid. 4.1 p. 185). Dans son message relatif à la LEtr, le Conseil fédéral s’est référé à cette jurisprudence et à la mesure des " deux ans ou plus " pour définir la longue peine privative de liberté ( FF 2002 3469, 3565, relatif à l’art. 62 du projet, devenu l’art. 63 du texte final). c) Même lorsque ces conditions sont remplies, l'autorité n'est cependant pas tenue de prononcer la révocation, mais en a la faculté; elle doit cependant examiner les circonstances du cas particulier et dispose d'une certaine marge d'appréciation (ATF 112  Ib 473 consid. 4 p. 478).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10 al. 1 LSEE, en particulier dans les situations où existent de nombreuses condamnations à de petites peines (arrêt PE.2002.0246 du 15 octobre 2002, in RDAF 2003 I 147). De toute manière, ce principe "des deux ans" ne peut être appliqué sans autre discussion, lorsque la durée du séjour en Suisse est longue (ATF 2C_152/2007 du 22 avril 2008 consid. 4.3 et les réf. citées); plus la durée de ce séjour aura été longue, plus les conditions pour prononcer l'expulsion administrative doivent être appréciées restrictivement (ATF 2C_625/2007 du 2 avril 2008 consid. 7). On tiendra par ailleurs particulièrement compte, pour apprécier la proportionnalité de la mesure, de l'intensité des liens de l'étranger avec la Suisse et des difficultés de réintégration dans son pays d'origine ( ATF 130 II 176 consid. 4.4.2 p. 190; 125 II 521 consid. 2b p. 523 s.; 122 II 433 consid. 2c p. 436; cf. Magalie Gafner, Personnes de nationalité étrangère, délinquance et renvoi: Une double peine?, in RDAF 2007 I p. 12 ss). De manière générale, le prononcé d’une mesure administrative doit s’effectuer en tenant compte du principe de proportionnalité. L’intérêt public à prendre une telle mesure doit l’emporter sur l’intérêt privé de la personne concernée. La protection de la collectivité publique face au développement du marché de la drogue constitue toutefois un intérêt public important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Il s'agit du reste d'un domaine où la jurisprudence se montre particulièrement rigoureuse (ATF 122 II 433 consid. 2c p. 436).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d)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p. 23 et les références). Quant au droit au respect de la vie privée et familiale garanti par l'art. 8 par. 1 CEDH, il ne fait pas obstacle à ce qu'une mesure d’éloignement soit prononcée sur la base de l'art. 10 LSEE.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(ATF 2C_385/2008 du 20 août 2008 consid. 4.1; 125 II 521 consid. 5 p. 529). La réglementation prévue par l'art. 8 CEDH prévoit que le droit au respect de la vie familiale (par. 1) n'est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125 II 633 consid. 2 p. 639; 122 II 1 consid. 2 p. 5 ss; 120 Ib 22 consid. 4a p. 24).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n°54273/00, §46, CEDH 2001-IX, confirmé par l'arrêt Üner c. Pays-Bas, du 18 octobre 2006, affaire n°46410/99, §57), soit étaient de jeunes hommes ayant des liens très étroits avec notre pays (Arrêt Emre c. Suisse du 22 mai 2008, affaire n°42034/04). Dans l'arrêt Emre (§69 et 70), la Cour européenne des droits de l'homme a relevé que le motif sous-jacent à la décision de faire de la durée du séjour d'une personne dans le pays hôte l'un des éléments à prendre en considération résidait dans la supposition que plus longtemps une personne résidait dans un pays particulier, plus forts étaient ses liens avec ce pays et plus faibles étaient ses liens avec son pays d'origine, et qu'il convenait donc de tenir compte de la situation particulière des étrangers ayant passé la majeure partie, sinon l'intégralité, de leur enfance dans leur pays d'accueil, où ils y avaient reçu leur éducation, y avaient noué la plupart de leurs attaches sociales et y avaient par conséquent développé leur identité propre. Enfin, s'agissant de la Convention relative aux droits de l'enfant, le Tribunal fédéral a déjà tranché que celle-ci ne conférait aucun droit à un enfant ou à ses parents de séjourner en Suisse au titre du regroupement familial ( cf. ATF 126 II 377 consid. 4 et 5 pp. 388-392; 124 II 361 consid. 3b p. 367 ; ATF 2P.127/2006 du 19 mai 2006; ATF 2A.342/2002 du 15 août 2002). Il a notamment jugé que les art. 9 (séparation de l'enfant de ses parents) et 10 (réunification familiale et relations personnelles entre parents et enfants) de la Convention ne limitaient pas les compétences législatives des Etats membres en matière d'immigration, la Suisse ayant du reste émis une réserve au sujet de l'art. 10 par. 1 de cette Convention ( ATF 124 II 361 consid. 3b p. 367).</w:t>
      </w:r>
    </w:p>
    <w:p>
      <w:r>
        <w:rPr>
          <w:b/>
        </w:rPr>
        <w:t>E. 4</w:t>
      </w:r>
    </w:p>
    <w:p>
      <w:r>
        <w:t>a) En l’occurrence, B.X.________ vit en Suisse depuis dix-sept ans. Il a travaillé depuis lors sans discontinuer, jusqu’à son accident survenu en janvier 2006. Son existence a, certes, été bouleversée à la suite de son accident professionnel en janvier 2006. Cela étant, ses condamnations répétées depuis l’octroi du permis de séjour en 1992 démontrent clairement qu’il n’avait pas été en mesure, malgré ce qui précède, de se conformer à l’ordre juridique en vigueur et qu’il a, à tout le moins, enfreint l’ordre public de manière récurrente. Surtout, il a franchi, ce nonobstant, un palier supplémentaire dans la délinquance. Entre décembre 2006 et janvier 2007, il a participé activement à un trafic de stupéfiants depuis le 2.********, important, entreposant et cherchant à vendre en Suisse, pour le compte de son beau-frère, près de 10 kg d’héroïne (soit 2,2 kg environ d’héroïne pure). Or, on sait qu’à compter de 12 g d’héroïne pure, la santé de nombreuses personnes est mise en danger; c’est dire l’extrême gravité des faits reprochés à l’intéressé. Déféré pour la septième fois devant les tribunaux, B.X.________, déjà multirécidiviste, a du reste été condamné à une peine privative de liberté de cinq ans pour crime contre la LStup au sens de son article 19 ch. 1 et 2 et infraction à la LSEE au sens de son article 23 al. 1 et 5. Cette sanction pénale excède d’une fois et demie la limite de deux ans à partir de laquelle il y a lieu, en règle générale, de considérer que l'intérêt public à l'éloignement de l'étranger l'emporte sur son intérêt privé. Dès lors, seules des circonstances particulièrement favorables pourraient faire obstacle à cette mesure. Or, c’est en vain que l’on cherche en l’occurrence de telles circonstances. Au contraire, les juges pénaux ont insisté sur le poids de la culpabilité de l’intéressé, guidé exclusivement par le mobile crapuleux de se procurer des gains aussi faciles qu’illicites, bien qu’il ne fût pas dans le besoin. Ils ont relevé que B.X.________, pourtant père de quatre enfants, n’avait eu aucun scrupule à s’impliquer dans le trafic d’héroïne sans pouvoir ignorer la déchéance de jeunes toxicomanes. Il n’a du reste jamais exprimé de véritables regrets quant à ses agissements criminels. On cite à cet égard un extrait particulièrement éloquent dudit jugement: « Préoccupés de leur sort et déplorant surtout d’avoir été pris, ils (réd.: B.X.________ et son co-accusé) se sont concentrés sur l’objectif égoïste d’échapper autant que faire se peut aux sanctions qu’ils méritent. Dans cette perspective, ils ont menti aussi effrontément que grossièrement, enchaînant sans vergogne leurs versions fantaisistes. Ils n’ont manifestement pas pris conscience de leur faute ». Depuis son incarcération, B.X.________ ne paraît guère avoir réellement pris conscience de la gravité de ses actes. Dans leur proposition de plan d’exécution de la sanction, du 18 juin 2008, les autorités pénitentiaires ont relevé que, tout en exprimant des regrets concernant son délit (sic! il s’agit d’un crime), il se déresponsabilisait en mettant l’accent sur des facteurs externes et minimisait son rôle dans le trafic d’héroïne. L’intérêt public à éloigner B.X.________ apparaît ici dans toute son évidence et la décision attaquée respecte le principe de proportionnalité, ce d’autant que l’intéressé possède une maison au 2.******** où il a tout le moins vécu jusqu’à sa vingtième année. Sa réinsertion sociale dans son pays d’origine n’est donc nullement compromise. b) B.X.________ a cependant fait valoir, comme on l’a dit plus haut, les conséquences désastreuses que pourrait entraîner la décision attaquée pour le développement de ses quatre enfants. En effet, ceux-ci sont nés en Suisse et, au demeurant, ne se sont rendus au 2.******** que pour y passer leurs vacances. On doit cependant garder à l’esprit que la décision attaquée ne vise que B.X.________. L’autorisation d’établissement dont A.X.________, respectivement ses enfants, sont titulaires n’est nullement mise en cause et ceux-ci peuvent demeurer en Suisse. Il est vrai toutefois que B.X.________ était, jusqu’à son arrestation et sa mise en détention le 16 janvier 2007, le seul soutien de sa famille. A.X.________, qui parle à peine la langue française, n’exerce du reste aucune activité lucrative. Cet élément n’est pas déterminant dans la mesure où les services sociaux ont, depuis lors, pris le relais de l’intéressé et subviennent désormais aux besoins de la famille. Quant au développement des enfants, il n’est pas sérieusement mis en péril par la décision attaquée. Ceux-ci sont scolarisés et les autorités pénitentiaires ont rappelé à cet égard que la collaboration de la famille X.________ avec les autorités scolaires a toujours été très difficile. Les enfants ont connu de sérieux problèmes d’intégration scolaire, nécessitant même la mise en œuvre de l’Office régional de protection des mineurs (ORPM) dans le but de prévenir, limiter ou faire disparaître le danger les menaçant. Or, B.X.________ n’a jamais accepté le travail des éducateurs de l’ORPM, jugeant celui-ci comme très intrusif. Les circonstances dans lesquelles il a importé de la drogue en Suisse offrent du reste un exemple illustrant des capacités d’éducation très approximatives; en effet, la famille X.________ a effectué le long trajet reliant le 2.******** à la Suisse au moyen du véhicule à l’intérieur duquel vingt « pains », contenant près de dix kilos d’héroïne, avaient été dissimulés. De nombreuses traces d’héroïne ont du reste été relevées par les enquêteurs dans l’habitacle dudit véhicule. Dès lors, on peut aisément comprendre, comme l’ont indiqué les autorités pénitentiaires que, pour B.X.________, seule importe finalement l’aide financière ou matérielle que les services de l’Etat peuvent apporter à sa famille. Quoi qu’il en soit, les enfants X.________ ne sont pas livrés à eux-mêmes, comme les recourants paraissent le sous-entendre. Au contraire, A.X.________ est désormais assistée par des intervenants professionnels, une curatelle de surveillance ayant été confiée à l’ORPM sur les enfants. Quant aux liens qui unissent B.X.________ à ses enfants, ils ne sont pas davantage rompus par la décision attaquée, puisque ceux-ci auront toujours la faculté de rendre visite à leur père durant les vacances scolaires.</w:t>
      </w:r>
    </w:p>
    <w:p>
      <w:r>
        <w:rPr>
          <w:b/>
        </w:rPr>
        <w:t>E. 5</w:t>
      </w:r>
    </w:p>
    <w:p>
      <w:r>
        <w:t>Les considérants qui précèdent conduisent dès lors au rejet du recours et à la confirmation de la décision attaquée. Un émolument judiciaire sera mis à la charge des recourants, ceux-ci succombant (art. 49 et 91 LPA-VD). En outre, il ne sera pas alloué de dépens (art. 55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