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PE.2009.0372 vom 23. Februar 2010</w:t>
      </w:r>
    </w:p>
    <w:p>
      <w:r>
        <w:t>VD Tribunal cantonal, 2010-02-23, FR</w:t>
      </w:r>
    </w:p>
    <w:p>
      <w:r>
        <w:rPr>
          <w:b/>
        </w:rPr>
        <w:t xml:space="preserve">Quelle: </w:t>
      </w:r>
      <w:r>
        <w:t>https://mcp.opencaselaw.ch/entscheid/vd_omni_PE.2009.0372</w:t>
      </w:r>
    </w:p>
    <w:p>
      <w:r>
        <w:t>FR: VD_OMNI PE.2009.0372 du 23 février 2010</w:t>
      </w:r>
    </w:p>
    <w:p>
      <w:r>
        <w:t>IT: VD_OMNI PE.2009.0372 del 23 febbraio 2010</w:t>
      </w:r>
    </w:p>
    <w:p>
      <w:pPr>
        <w:pStyle w:val="Heading2"/>
      </w:pPr>
      <w:r>
        <w:t>Regeste</w:t>
      </w:r>
    </w:p>
    <w:p>
      <w:r>
        <w:t>X.____________/Service de la population (SPOP) | Confirmation de la révocation par le SPOP de l'autorisation de séjour CE/AELE dont la recourante, ressortissante des Philippines, bénéficiait au titre du regroupement familial pour vivre auprès de son conjoint ressortissant français titulaire d'une autorisation de séjour, au motif qu'elle vit séparée de lui et qu'il n'y a pas de volonté de la part des époux de reprendre la vie commune.</w:t>
      </w:r>
    </w:p>
    <w:p>
      <w:pPr>
        <w:pStyle w:val="Heading2"/>
      </w:pPr>
      <w:r>
        <w:t>Erwägungen</w:t>
      </w:r>
    </w:p>
    <w:p>
      <w:r>
        <w:rPr>
          <w:b/>
        </w:rPr>
        <w:t>E. 1</w:t>
      </w:r>
    </w:p>
    <w:p>
      <w:r>
        <w:t>a) Aux termes de l'art. 92 al. 1 de la loi vaudoise du 2 octobre 2008 sur la procédure administrative (LPA; RSV 173.36),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Est litigieuse en l'espèce la question de savoir si c'est à juste titre que l'autorité intimée a révoqué l’autorisation de séjour CE/AELE au bénéfice de laquelle la recourante, ressortissante d'un Etat tiers (Philippines), a été mise suite à son mariage avec un ressortissant d'un Etat membre de la Communauté européenne (France) titulaire d'une autorisation de séjour en Suisse.</w:t>
      </w:r>
    </w:p>
    <w:p>
      <w:r>
        <w:rPr>
          <w:b/>
        </w:rPr>
        <w:t>E. 3</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Tout d'abord, il convient d'examiner la requête de la recourante tendant à ce que son époux soit entendu comme témoin lors d’une audience afin d'étayer le fait qu'ils forment toujours une communauté conjugale. a) Selon l'art. 34 al. 1 LPA, les parties participent à l'administration des preuves.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PE.2008.0497 du 21 janvier 2009; FI.2005.0206 du 12 juin 2006). b) En l'espèce, l’audition de l'époux de la recourante n'est pas nécessaire. En effet, le dossier comporte déjà une déclaration écrite de celui-ci établie le 25 septembre 2009 conjointement avec la recourante. Par ailleurs, de par les nombreuses pièces que la recourante a eu l'occasion de produire tout au long de la procédure de recours, le dossier est suffisamment documenté pour permettre au tribunal de former sa conviction. Il n'est dès lors pas donné suite à la mesure d'instruction requise.</w:t>
      </w:r>
    </w:p>
    <w:p>
      <w:r>
        <w:rPr>
          <w:b/>
        </w:rPr>
        <w:t>E. 5</w:t>
      </w:r>
    </w:p>
    <w:p>
      <w:r>
        <w:t>Selon son art. 2 al. 2, la LEtr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En vertu de l’art. 4 ALCP, le droit de séjour des ressortissants d’une partie contractante sur le territoire d’une autre partie contractante est garanti sous réserve de l’art. 10 et conformément aux dispositions arrêtées dans l’Annexe I (ci-après: annexe I ALCP). L'art. 3 par. 1 première phrase annexe I ALCP prévoit que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non-discrimination inscrit à l'art. 2 ALCP et d'assurer une certaine cohésion d'ensemble au système (ATF 130 II 113 consid. 9 p. 129-134, et les références citées). Selon la jurisprudence relative à l'art. 7 al. 1 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2 p. 151/152;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w:t>
      </w:r>
    </w:p>
    <w:p>
      <w:r>
        <w:rPr>
          <w:b/>
        </w:rPr>
        <w:t>E. 6</w:t>
      </w:r>
    </w:p>
    <w:p>
      <w:r>
        <w:t>En l'espèce, il est établi que les époux XY.____________, qui se sont mariés le 8 juillet 2002, se sont séparés le 13 décembre 2007 et vivent à nouveau sous le même toit depuis août 2009. Il ressort cependant de la convention ratifiée par le Président du Tribunal d'arrondissement de Lausanne lors de l'audience du 25 septembre 2009 que c'est en attendant que son époux retrouve un travail et un logement que la recourante a "accepté de (le) loger provisoirement (…) chez elle" depuis cette date. Il apparaît dès lors que c'est uniquement afin d'aider son mari dans le cadre de son retour en Suisse d'où il s'est absenté depuis janvier 2009 que la recourante habite à nouveau avec lui, et ce pour une durée limitée. La déclaration de l'époux de la recourante du 22 septembre 2009 le confirme en relevant que "depuis le 24 août 2009, date de son retour en Suisse, M. Y.____________ est hébergé par son épouse". On soulignera par ailleurs qu'aucun élément au dossier n'indique que, depuis leur séparation, les époux aient eu l'intention de renouer une relation: la recourante a quitté le domicile conjugal le 13 décembre 2007 car son mari entretenait une relation avec une autre femme, des mesures protectrices de l'union conjugale autorisant les époux à vivre séparés ont été prononcées le 21 décembre suivant et, le 3 juillet 2009 encore, devant le Président du Tribunal d'arrondissement de Lausanne, ils ont décidé de continuer à vivre séparément pour une durée indéterminée. S'agissant des contacts réguliers qu'ils continuaient d'avoir, notamment pendant le séjour du mari de la recourante en France, d'une part, contrairement à ce que prétend la recourante, ils ne sauraient constituer la preuve que le lien conjugal a été maintenu, d'autre part ils apparaissent plutôt avoir été motivés par le souci de maintenir la relation du mari de la recourante avec leur fils. Dans ces conditions, force est de constater que le mariage est en réalité vidé de sa substance, de sorte que la recourante ne peut plus s'en prévaloir pour obtenir le maintien de son autorisation de séjour CE/AELE sans commettre un abus de droit. C’est donc à juste titre que le SPOP l'a révoquée.</w:t>
      </w:r>
    </w:p>
    <w:p>
      <w:r>
        <w:rPr>
          <w:b/>
        </w:rPr>
        <w:t>E. 7</w:t>
      </w:r>
    </w:p>
    <w:p>
      <w:r>
        <w:t>Le recours doit dès lors être rejeté aux frais de la recourante (art. 49 LPA)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