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PE.2009.0361 vom 23. Oktober 2009</w:t>
      </w:r>
    </w:p>
    <w:p>
      <w:r>
        <w:t>VD Tribunal cantonal, 2009-10-23, FR</w:t>
      </w:r>
    </w:p>
    <w:p>
      <w:r>
        <w:rPr>
          <w:b/>
        </w:rPr>
        <w:t xml:space="preserve">Quelle: </w:t>
      </w:r>
      <w:r>
        <w:t>https://mcp.opencaselaw.ch/entscheid/vd_omni_PE.2009.0361</w:t>
      </w:r>
    </w:p>
    <w:p>
      <w:r>
        <w:t>FR: VD_OMNI PE.2009.0361 du 23 octobre 2009</w:t>
      </w:r>
    </w:p>
    <w:p>
      <w:r>
        <w:t>IT: VD_OMNI PE.2009.0361 del 23 ottobre 2009</w:t>
      </w:r>
    </w:p>
    <w:p>
      <w:pPr>
        <w:pStyle w:val="Heading2"/>
      </w:pPr>
      <w:r>
        <w:t>Regeste</w:t>
      </w:r>
    </w:p>
    <w:p>
      <w:r>
        <w:t>A.X.________ et B.Y.________ c/Service de la population (SPOP) | Confirmation du refus de renouveler l'autorisation de séjour délivrée à une ressortissante équatorienne, ainsi qu'à son fils mineur. La requérante vit séparée depuis deux ans avec son époux ressortissant suisse, sans qu'aucun espoir de réconciliation ne soit envisageable. Il n'est du reste pas exclu qu'elle l'ait épousé qu'à seule fin de régulariser sa situation. En effet, la requérante a séjourné de façon illégale en Suisse pendant six ans et demi avant qu'un permis ne lui soit délivré et sa situation, de même que celle de son fils, ne constitue nullement un cas de rigueur.</w:t>
      </w:r>
    </w:p>
    <w:p>
      <w:pPr>
        <w:pStyle w:val="Heading2"/>
      </w:pPr>
      <w:r>
        <w:t>Erwägungen</w:t>
      </w:r>
    </w:p>
    <w:p>
      <w:r>
        <w:rPr>
          <w:b/>
        </w:rPr>
        <w:t>E. 1</w:t>
      </w:r>
    </w:p>
    <w:p>
      <w:r>
        <w:t>Le SPOP fait valoir en substance que la recourante invoque abusivement les liens du mariage pour conserver une autorisation de séjour obtenue par regroupement familial, dans la mesure où les époux ne font plus vie commune depuis plusieurs années.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d’un ressortissant suisse ainsi que ses enfants célibataires de moins de 18 ans ont droit à l’octroi d’une autorisation de séjour et à la prolongation de sa durée de validité à condition de vivre en ménage commun avec lui (art. 42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la recourante et son époux vivent séparés depuis bientôt deux ans, sans qu’il y ait la moindre perspective de réconciliation entre eux. Pis, contrairement à ce qu’elle a affirmé initialement, la recourante a même dû reconnaître qu’elle n’avait jamais fait ménage commun avec son époux. Elle a maladroitement tenté de s’inscrire auprès des autorités à l’adresse 1.******** de son époux, alors qu’en réalité, elle n’a jamais quitté, depuis 2005 à tout le moins, son domicile 8.********. Il n’est pas exclu du reste qu’elle ait épousé F.X.________ dans le seul but de régulariser sa situation administrative en Suisse et celle de ses enfants. Par conséquent, la recourante invoque de façon abusive les liens du mariage pour requérir le renouvellement des autorisations de séjour fondées sur un regroupement familial qui n’a plus lieu d’être et le maintien d’une vie commune qui a pris fin il y a bientôt deux ans, si tant est qu’elle ait vraiment débuté, ce dont on peut très raisonnablement douter.</w:t>
      </w:r>
    </w:p>
    <w:p>
      <w:r>
        <w:rPr>
          <w:b/>
        </w:rPr>
        <w:t>E. 2</w:t>
      </w:r>
    </w:p>
    <w:p>
      <w:r>
        <w:t>Il reste toutefois à examiner si, nonobstant cette situation, la recourante et son fils peuvent encore prétendre au renouvellement de leur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et 77 al. 2 OASA). Une autorisation de séjour peut en outre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let.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CDAP PE 2008.0342 du 18 mars 2009).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PE.2007.0436 du 31 mars 2008 consid. 3 et les références). b) La recourante a séjourné de façon illégale en Suisse durant six ans et demi, voire bien davantage, avant d’être au bénéfice d’un permis. Son fils B.Y.________ a, pour sa part, séjourné sans autorisation durant cinq ans. L a durée du séjour des recourants en Suisse, soit huit ans et demi, respectivement sept ans, n'est cependant pas à lui seul un élément suffisant pour justifier l'admission d'un cas de rigueur. En outre, à l’exception des deux dernières années, la totalité de ce séjour est illégale, les recourants n'ayant jamais obtenu une quelconque autorisation. La recourante a du reste été condamnée pénalement à quatre reprises pour séjours illégaux et ce nonobstant, n’a jamais quitté la Suisse. Les recourants ne sauraient par conséquent se prévaloir de façon utile de la durée de leurs séjours (v. dans ce sens, arrêt PE.2007.0519 du 24 septembre 2008). La longue durée d'un séjour en Suisse n'est pas, à elle seule, un élément constitutif d'un cas personnel d'extrême gravité dans la mesure où ce séjour est illégal, sinon, l'obstination à violer la législation en vigueur serait en quelque sorte récompensée. Il faut dans ce cas 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du requérant ou leur laxisme lorsqu'elles ont négligé d'exécuter une décision prononçant le renvoi de Suisse de l'intéressé (ATF 130 II 39 consid. 3 p. 42; 124 II 110 consid. 3 p. 113; 2A.166/2001 du 21 juin 2001, consid. 2b/bb). La recourante travaille à l'entière satisfaction de son employeur, au demeurant; elle ne saurait toutefois prétendre exercer un emploi particulièrement qualifié. Elle est autonome financièrement, n'émarge pas à l'assistance publique et n'a pas de poursuite. Hormis son époux, avec lequel elle semble n’avoir jamais vécu et dont elle n'a pas eu d'enfant, plusieurs de ses sœurs vivent en Suisse. En outre, vit également en Suisse son petit-fils, enfant de son fils D.Y.________, mais le sort de la situation administrative de celui-ci dépend également du recours qu’il a interjeté contre la décision de l’autorité intimée. Cependant, même si la recourante apparaît bien intégrée sur le plan socio-professionnel, on ne saurait considérer qu'elle se trouve pour ce motif dans un cas personnel d'extrême gravité et qu'il n'est pas possible d'exiger d’elle qu'elle retourne dans son pays d'origine, où elle a vécu la majeure partie de son existence. Quant aux agissements récents de son époux, que la recourante a dénoncés en portant plainte pénale contre lui le 13 octobre 2009, ils ne constituent pas davantage des raisons personnelles majeures au sens de l’art. 50 al. 1 let. b LEtr. Supposé en effet que les époux aient réellement fait vie commune, ce dont on peut raisonnablement douter, ces agissements n’ont aucun rapport avec leur séparation, intervenue il y a bientôt deux ans. c) Quant à l’enfant B.Y.________, le moins que l’on puisse dire est que son parcours en Suisse, scolaire notamment, n’est pas la marque d’une intégration particulièrement réussie. On rappelle à cet égard que, s elon la jurisprudence,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 du 17 juillet 1995, consid. 5, cité dans ATF 123 II 125 consid. 4b p. 130). Or, â gé de seize ans, B.Y.________ est scolarisé à 8.******** en 7 ème année VSO, degré scolaire qui, comme le relève l’autorité intimée, est le plus bas dans le canton. A cela s’ajoute qu’à deux reprises, il a été interpellé par la police pour vol d’un téléphone portable. B.Y.________ a quitté l’Equateur alors qu’il était âgé de neuf ans; il a certes vécu le début de son adolescence en Suisse mais a conservé des attaches avec son pays d’origine. On ne saurait dire que son intégration relative à un milieu socioculturel en Suisse soit si profonde et si irréversible que l'obligation de s'adapter à un autre environnement équivaudrait pour lui à un véritable déracinement. Du reste,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(arrêt T., consid. 4, cité dans ATF 123 II 125 consid. 4a p.129).</w:t>
      </w:r>
    </w:p>
    <w:p>
      <w:r>
        <w:rPr>
          <w:b/>
        </w:rPr>
        <w:t>E. 3</w:t>
      </w:r>
    </w:p>
    <w:p>
      <w:r>
        <w:t>Au vu de ce qui précède, le recours ne peut qu’être rejeté et la décision attaquée, confirmée. Vu le sort du recours, un émolument judiciaire doit être mis à la charge des recourants, ceux-ci succombant (art. 48, 49 al. 1 et 91 de la loi du 28 octobre 2008 sur la procédure administrative – LPA-VD, RSV 173.36).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