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PE.2009.0359 vom 30. November 2009</w:t>
      </w:r>
    </w:p>
    <w:p>
      <w:r>
        <w:t>VD Tribunal cantonal, 2009-11-30, FR</w:t>
      </w:r>
    </w:p>
    <w:p>
      <w:r>
        <w:rPr>
          <w:b/>
        </w:rPr>
        <w:t xml:space="preserve">Quelle: </w:t>
      </w:r>
      <w:r>
        <w:t>https://mcp.opencaselaw.ch/entscheid/vd_omni_PE.2009.0359</w:t>
      </w:r>
    </w:p>
    <w:p>
      <w:r>
        <w:t>FR: VD_OMNI PE.2009.0359 du 30 novembre 2009</w:t>
      </w:r>
    </w:p>
    <w:p>
      <w:r>
        <w:t>IT: VD_OMNI PE.2009.0359 del 30 novembre 2009</w:t>
      </w:r>
    </w:p>
    <w:p>
      <w:pPr>
        <w:pStyle w:val="Heading2"/>
      </w:pPr>
      <w:r>
        <w:t>Regeste</w:t>
      </w:r>
    </w:p>
    <w:p>
      <w:r>
        <w:t>A.X c/Service de la population (SPOP) | Confirmation du non-renouvellement de l'autorisation de séjour délivrée à une ressortissante brésilienne qui avait obtenu lors de son mariage avec un ressortissant suisse, avec lequel elle n'a vécu que six mois, et dont elle vit séparée depuis un an et demi. Sans doute, la demande en divorce a été retirée, mais les époux n'ont toujours par repris la vie commune, de sorte que la recourante invoque de façon abusive les liens du mariage pour s'opposer à ce non-renouvellement.</w:t>
      </w:r>
    </w:p>
    <w:p>
      <w:pPr>
        <w:pStyle w:val="Heading2"/>
      </w:pPr>
      <w:r>
        <w:t>Erwägungen</w:t>
      </w:r>
    </w:p>
    <w:p>
      <w:r>
        <w:rPr>
          <w:b/>
        </w:rPr>
        <w:t>E. 1</w:t>
      </w:r>
    </w:p>
    <w:p>
      <w:r>
        <w:t>Le SPOP fait valoir en substance que la recourante invoque abusivement les liens du mariage pour conserver son autorisation de séjour qu'elle a obtenue par regroupement familial, dans la mesure où la vie commune n’a duré que six mois, qu’elle a pris fin en avril 2008 et n’a pas repris depuis lors.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Y.X.________ vivent séparés depuis avril 2008 après avoir contracté mariage le 3 octobre 2007 seulement. La recourante et son époux ont été questionnés dans un premier temps sur leurs intentions futures quant au sort de l’union conjugale. Ils ont confirmé qu’une procédure de divorce avait été entreprise et aucun d’eux n’a parlé de vouloir reprendre la vie commune. On retire en outre de ses explications que B.Y.________ éprouvait alors des doutes légitimes sur la sincérité des sentiments de la recourante à son égard. Il n’a pas caché qu’à cette époque, il avait effectivement eu l’impression que la recourante ne l’avait épousé qu’à seule fin d’obtenir une autorisation de séjour. La situation a évolué depuis lors puisque la recourante, qui paraissait résolue à divorcer de B.Y.________, a repris contact avec lui. Il n’a cependant pas échappé au Tribunal que cette reprise des relations fait suite à la décision attaquée; au demeurant, la recourante a saisi que le sort de l’autorisation de séjour qu’elle a obtenue était liée à la réalité de sa vie commune avec B.Y.________ et à la durée de celle-ci. Depuis lors, la demande en divorce a été retirée et les époux envisagent de reprendre la vie commune; ils ne l’ont toujours pas fait à l’heure actuelle et chacun vit dans son propre appartement. Ils se voient trois à quatre fois par semaine et sont à la recherche d’un nouvel appartement dans lequel ils souhaitent emménager. Cela étant, des doutes importants subsistent sur la volonté réelle de la recourante de fonder un foyer avec son époux. B.Y.________ a fait signer à son épouse un engagement moral laquelle celle-ci, notamment déclare cesser « (…) toutes relations privilégiées avec des tiers, relations qui pourraient nuire à la fierté de l’époux » et à avoir en tout temps « un comportement digne et compatible avec l’activité et l’attitude de son mari et à agir de façon que son comportement ne prête pas le flanc à la critique ou au sarcasme » . Certes, cet engagement est sans valeur juridique; il fait cependant peser un fort soupçon sur les réelles motivations qui ont poussé la recourante à épouser B.Y.________. A supposer du reste que les sentiments que la recourante éprouve pour son époux fussent sincères, rien ne s’opposait à ce qu’elle retourne vivre avec lui à 2.******** dès l’été 2009. Dès lors, l’essentiel est de retenir que la vie commune, pour autant qu’elle fût une réalité, n’a duré que six mois à peine, de sorte que la séparation des époux, intervenue moins d’un an après que la recourante a obtenu une autorisation de séjour, est durable. Quoiqu’elle en dise, la recourante n’a pas repris la vie commune avec B.Y.________. Par conséquent, la recourante invoque de façon abusive les liens du mariage pour requérir le renouvellement de son autorisation de séjour, respectivement l’octroi d’une autorisation d’établissement, fondés sur le regroupement familial qui n’a plus lieu d’être et le maintien d’une vie commune qui a pris fin il y a près d’un an et demi.</w:t>
      </w:r>
    </w:p>
    <w:p>
      <w:r>
        <w:rPr>
          <w:b/>
        </w:rPr>
        <w:t>E. 2</w:t>
      </w:r>
    </w:p>
    <w:p>
      <w:r>
        <w:t>Il reste toutefois à examiner si, nonobstant cette situation, la recourante peut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Si la violence conjugale est invoquée, les autorités compétentes peuvent demander des preuves. Sont notamment considérés comme indices de violence conjugale: les certificats médicaux, les rapports de police, les plaintes pénales, les mesures au sens de l’art. 28b CC ou les jugements pénaux prononcés à ce sujet (art. 77 al. 5 et 6 let. a à e OASA). Le délai d’octroi de l’autorisation d’établissement est réglé à l’art. 34 (ibid., al. 3). A teneur de l’art. 51 al. 2 LEtr, les droits garantis par l’art. 43 de la même loi s’éteignent lorsqu’ils sont invoqués abusivement, notamment pour éluder les dispositions de la loi sur l’admission et le séjour ou ses dispositions d’exécution (let. a) ou s’il existe des motifs de révocation selon l’art. 63 LEtr. Tel est le cas, notamment, lorsque l’étranger ou une personne dont il a la charge dépend durablement et dans une large mesure de l’aide sociale (art. 63 al. 1 let. c LEtr.). b) En l’espèce, ces conditions ne sont nullement remplies. C’est en vain que la recourante soutient que la vie conjugale a duré au moins trois ans. Certes, elle a fait la connaissance de B.Y.________ en 2002 déjà, mais c’est plus tard que la vie commune a débuté. Seule compte à cet égard la durée de l’union conjugale au sens de l’art. 161 CC et non celle du concubinage. Quoi qu’il en soit, avant le 12 février 2007, l a recourante a séjourné de façon illégale en Suisse; elle ne saurait par conséquent se prévaloir de façon utile de la durée de son séjour (v. dans ce sens, arrêt PE.2007.0519 du 24 septembre 2008). Du reste, la longue durée d'un séjour en Suisse n'est pas, à elle seule, un élément constitutif d'un cas personnel d'extrême gravité dans la mesure où ce séjour est illégal, sinon, l'obstination à violer la législation en vigueur serait en quelque sorte récompensée. Il faut dans ce cas examiner si l'intéressée se trouve pour d'autres raisons dans un état de détresse justifiant de l'excepter des mesures de limitation du nombre des étrangers. Si des disputes ont émaillé le couple Y.________-X.________, la recourante n’a pas été victime de violences de la part de son époux. La recourante ne dépend, certes, pas de l’assistance publique, même si elle a contracté quelques dettes en Suisse. Il reste que la recourante est sans formation professionnelle et son intégration ne paraît pas particulièrement réussie. En dépit de ses dénégations, il semble bien qu’elle soit venue dans notre pays essentiellement pour s’y prostituer. Quoi qu’il en soit, la recourante a vécu vingt-six ans au Brésil où elle possède toutes ses attaches, dont un fils âgé aujourd’hui de douze ans. La poursuite de son séjour en Suisse ne s’impose en tout cas pas pour des raisons majeures. c) Au vu de ce qui précède, l’autorité intimée n’a en aucun cas abusé de son pouvoir d’appréciation en refusant de renouveler l’autorisation de séjour délivrée à la recourante.</w:t>
      </w:r>
    </w:p>
    <w:p>
      <w:r>
        <w:rPr>
          <w:b/>
        </w:rPr>
        <w:t>E. 3</w:t>
      </w:r>
    </w:p>
    <w:p>
      <w:r>
        <w:t>Le recours ne peut donc qu’être rejeté et la décision attaquée, confirmée, ceci aux frais de son auteur. L’allocation de dépens n’entre par ailleurs pas en ligne de compte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