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PE.2009.0314 vom 18. November 2010</w:t>
      </w:r>
    </w:p>
    <w:p>
      <w:r>
        <w:t>VD Tribunal cantonal, 2010-11-18, FR</w:t>
      </w:r>
    </w:p>
    <w:p>
      <w:r>
        <w:rPr>
          <w:b/>
        </w:rPr>
        <w:t xml:space="preserve">Quelle: </w:t>
      </w:r>
      <w:r>
        <w:t>https://mcp.opencaselaw.ch/entscheid/vd_omni_PE.2009.0314</w:t>
      </w:r>
    </w:p>
    <w:p>
      <w:r>
        <w:t>FR: VD_OMNI PE.2009.0314 du 18 novembre 2010</w:t>
      </w:r>
    </w:p>
    <w:p>
      <w:r>
        <w:t>IT: VD_OMNI PE.2009.0314 del 18 novembre 2010</w:t>
      </w:r>
    </w:p>
    <w:p>
      <w:pPr>
        <w:pStyle w:val="Heading2"/>
      </w:pPr>
      <w:r>
        <w:t>Regeste</w:t>
      </w:r>
    </w:p>
    <w:p>
      <w:r>
        <w:t>A. X.________ c/Service de la population (SPOP) | Refus de renouveler l'autorisation de séjour d'un ressortissant macédonien marié à une compatriote titulaire d'une autorisation d'établissement en Suisse, respectivement de lui délivrer une autorisation d'établissement en raison de la séparation du couple et des condamnations pénales dont il a fait l'objet. Contrairement à ce que soutient le recourant, la réalité de la reprise de la vie commune n'est nullement établie. Ce point de fait peut toutefois rester incertain dès lors que les multiples infractions pénales commises par le recourant ainsi que sa dépendance à l'aide sociale constituent des motifs de révocation de son autorisation de séjour au sens de l'art. 61 LEtr. Sous l'angle de la proportionnalité, la décision attaquée n'est pas non plus critiquable. Au vu de ces éléments, le refus de renouveler l'autorisation de séjour du recourant, a fortiori de lui accorder une autorisation d'établissement, est justifié. Recours rejeté.</w:t>
      </w:r>
    </w:p>
    <w:p>
      <w:pPr>
        <w:pStyle w:val="Heading2"/>
      </w:pPr>
      <w:r>
        <w:t>Erwägungen</w:t>
      </w:r>
    </w:p>
    <w:p>
      <w:r>
        <w:rPr>
          <w:b/>
        </w:rPr>
        <w:t>E. 1</w:t>
      </w:r>
    </w:p>
    <w:p>
      <w:r>
        <w:t>Le recourant a requis l'audition de témoins ainsi qu'une inspection locale de son appartement. a) a) Tel qu’il est garanti par l’art. 29 al. 2 de la Constitution fédérale de la Confédération suisse du 18 avril 1999 (Cst.; RS 101) ainsi que par l'art. 27 al. 2 de la Constitution du canton de Vaud du 14 avril 2003 (Cst.-VD; RSV 101.01),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références citées). En particulier, le droit de faire administrer des preuves suppose notamment que le fait à prouver soit pertinent et que le moyen de preuve proposé soit apte et nécessaire à prouver ce fait. Le droit d’être entendu découlant des art. 29 al. 2 Cst. et 27 al. 2 Cst.-VD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n'est pas nécessaire de procéder à d'autres mesures d'instruction, le dossier étant complet et permettant au tribunal de céans de statuer. De plus, les parties ont eu largement la possibilité de faire valoir leur point de vue à l'occasion de plusieurs échanges d'écritures. Il ne sera dès lors pas donné suite aux requêtes de mesures d'instruction du recourant.</w:t>
      </w:r>
    </w:p>
    <w:p>
      <w:r>
        <w:rPr>
          <w:b/>
        </w:rPr>
        <w:t>E. 2</w:t>
      </w:r>
    </w:p>
    <w:p>
      <w:r>
        <w:t>a) La nouvelle loi fédérale du 16 décembre 2005 sur les étrangers (LEtr; RS 142.20), entrée en vigueur le 1 er janvier 2008, abroge et remplace l’ancienne loi fédérale du 26 mars 1931 sur le séjour et l’établissement des étrangers (aLSEE). A titre de droit transitoire, l’art. 126 al. 1 LEtr prévoit toutefois que les demandes déposées avant l’entrée en vigueur de la LEtr sont régies par l’ancien droit. Simultanément, l a nouvelle ordonnance fédérale du 24 octobre 2007 relative à l’admission, au séjour et à l’exercice d’une activité lucrative (OASA; RS 142.201) abroge et remplace l’ancienne ordonnance fédérale du 6 octobre 1986 limitant le nombre des étrangers (aOLE; RO 1986 1791 et les modifications subséquentes). Les dispositions transitoires de la LEtr sont applicables par analogie à cette ordonnance. b) En l’espèce, le recourant a demandé le renouvellement de son autorisation de séjour, respectivement la délivrance d'une autorisation d'établissement, le 24 juin 2008. Partant, la validité matérielle de la décision attaquée doit être examinée à l’aune du nouveau droit.</w:t>
      </w:r>
    </w:p>
    <w:p>
      <w:r>
        <w:rPr>
          <w:b/>
        </w:rPr>
        <w:t>E. 3</w:t>
      </w:r>
    </w:p>
    <w:p>
      <w:r>
        <w:t>A teneur de l’art. 98 de la loi du 28 octobre 2008 sur la procédure administrative (LPA; RSV 173.36), le recourant peut invoquer la violation du droit, y compris l'excès ou l'abus du pouvoir d'appréciation, ainsi que la constatation inexacte ou incomplète des faits pertinents. La LEtr ne prévoyant aucune disposition étendant le pouvoir de contrôle de l’autorité de recours à l’inopportunité, ce grief ne saurait donc être examiné par le tribunal de céans. 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1C_294/2007 du 30 novembre 2007 consid. 3.4; 116 V 307 consid. 2 p. 310 et les arrêts cités).</w:t>
      </w:r>
    </w:p>
    <w:p>
      <w:r>
        <w:rPr>
          <w:b/>
        </w:rPr>
        <w:t>E. 4</w:t>
      </w:r>
    </w:p>
    <w:p>
      <w:r>
        <w:t>L'autorité intimée a refusé de renouveler l'autorisation de séjour du recourant, subsidiairement de la transformer en autorisation d'établissement, au motif qu'il vit séparé de son épouse depuis le mois de mars 2007 et que son intégration ne peut être qualifiée de réussie au vu des nombreuses condamnations pénales dont il a fait l'objet. Pour sa part, le recourant prétend que son intégration est réussie et minimise ses condamnations pénales. Il se prévaut par ailleurs de sa relation personnelle avec son fils. Pour le surplus, il soutient avoir repris la vie commune avec son épouse. a) En vertu de l'art. 43 al. 1 LEtr, le conjoint étranger du titulaire d'une autorisation d'établissement ainsi que ses enfants célibataires de moins de 18 ans ont droit à l'octroi d'une autorisation de séjour et à la prolongation de sa durée de validité, à condition de vivre en ménage commun avec lui. L'exigence du ménage commun prévue par cette disposition n'est pas applicable lorsque la communauté familiale est maintenue et que des raisons majeures justifiant l'existence de domiciles séparés peuvent être invoqués (art. 49 LEtr). L'art. 76 OASA précise qu'une exception à l'exigence du ménage commun peut résulter de raisons majeures dues, notamment, à des obligations professionnelles ou à une séparation provisoire en raison de problèmes familiaux importants. b) Le recourant soutient avoir repris la vie commune avec son épouse. A l'appui de cette allégation, il a notamment produit une lettre par laquelle l'avocate de son épouse informait son avocat que la prochaine audience concernant la procédure de mesures protectrices de l'union conjugale n'avait "plus lieu d'être" . Entendu par la police en avril 2010, le recourant a exposé qu'il était à la recherche d'un appartement permettant la reprise de la vie commune. Dans l'intervalle, le recourant et son épouse envisageaient de s'installer chez son frère à partir du 1 er mai 2010. Pour sa part, l'épouse du recourant a affirmé que la vie commune n'avait pas repris depuis la séparation intervenue en mars 2007, mais qu'elle souhaitait vivre à nouveau avec son mari. Puis, le 9 juin 2010, le recourant a annoncé à l'Office de la population de 9******** son départ pour la commune de 1********, à l'avenue 15********, et, le 30 juin 2010, produit un contrat de bail portant sur la location par son frère et sa belle-sœur d'un appartement situé à cette adresse. Cela étant, le recourant a indiqué être "séparé" dans la formule d'annonce de départ adressée à l'Office de la population de 9********. L'ensemble de ces éléments ne suffit pas à prouver la reprise de la vie commune. En effet, l'annulation d'une audience fixée dans le cadre d'une procédure de mesures protectrices de l'union conjugale, la communication d'une nouvelle adresse ainsi que la production d'un contrat de bail conclu par le frère et la belle-sœur du recourant, de même que les déclarations d'intention du recourant et de son épouse ne sont pas de nature à démontrer qu'ils font effectivement à nouveau ménage commun. Pour le surplus, l'on relèvera les nombreuses contradictions entre les propos tenus par les époux à la police en 2008 et en 2010. Ainsi, la recourante a notamment affirmé en octobre 2008 qu'elle envisageait de divorcer, que son mari n'assumait pas ses responsabilités de père et qu'elle le soupçonnait de l'avoir épousée aux fins d'obtenir un titre de séjour en Suisse. En avril 2010, elle a en revanche nié que son mari ait pu l'épouser pour des questions de police des étrangers. Elle a en outre déclaré que son mari, qu'elle avait épousé par amour, s'occupait très bien de leur fils et qu'un renvoi de Suisse serait préjudiciable à ce dernier. Au vu de l'ensemble de ces éléments, il apparaît que la réalité de la reprise de la vie commune entre le recourant et son épouse n'a pas été établie. Il n'est toutefois pas nécessaire de procéder à d'autres mesures d'instruction pour éclaircir cette question de fait qui peut en définitive rester ouverte dès lors que le recourant ne peut prétendre au renouvellement d'une autorisation de séjour respectivement à l'octroi d'une autorisation d'établissement pour les motifs exposés ci-après.</w:t>
      </w:r>
    </w:p>
    <w:p>
      <w:r>
        <w:rPr>
          <w:b/>
        </w:rPr>
        <w:t>E. 5</w:t>
      </w:r>
    </w:p>
    <w:p>
      <w:r>
        <w:t>a) aa) D'après l'art. 51 al. 2 LEtr, les droits prévus aux art. 43, 48 et 50 LEtr s'éteignent lorsqu'ils sont invoqués abusivement, notamment pour éluder les dispositions de la LEtr sur l'admission et le séjour ou ses dispositions d'exécution (let. a) ou s'il existe des motifs de révocation au sens de l'art. 62 LEtr (let. b). A teneur de l'art. 62 let. b LEtr, l'autorité compétente peut révoquer une autorisation, à l'exception de l'autorisation d'établissement, ou une autre décision fondée sur cette loi notamment si l'étranger a été condamné à une peine privative de liberté de longue durée ou a fait l'objet d'une mesure pénale prévue aux art. 64 ou 61 du code pénal. Selon la jurisprudence, l'on considère qu'une peine privative de liberté est de longue durée au sens de l'art. 62 let. b LEtr lorsqu'elle dépasse un an d'emprisonnement (ATF 135 II 377 consid. 4.2 pp. 379 ss), qu'elle ait été prononcée avec un sursis complet, partiel, ou sans sursis (ATF 2C_515/2009 du 27 janvier 2010 consid. 2.1). L'autorité compétente peut également révoquer une autorisation de séjour si l'étranger attente de manière grave ou répétée à la sécurité et à l'ordre public en Suisse ou à l'étranger, les mets en danger ou représente une menace pour la sécurité intérieure ou extérieure de la Suisse (art. 62 let. c LEtr.) L'art. 80 al. 1 OASA précise qu'il y a notamment atteinte à la sécurité et à l'ordre publics au sens de l'art. 62 let. c LEtr en cas de violation de prescriptions légales ou de décisions d'autorités (let. a), de non-accomplissement volontaire d'obligations de droit public ou privé (let. b), ou encore d'apologie publique d'un crime contre la paix, d'un crime de guerre, d'un crime contre l'humanité ou d'actes de terrorisme, ou en cas d'incitation à de tels crimes ou d'appel à la haine contre certaines catégories de population (let. c). La sécurité et l’ordre publics sont menacés lorsque des éléments concrets indiquent que le séjour en Suisse de la personne concernée conduit selon toute vraisemblance à une atteinte à la sécurité et à l’ordre publics (art. 80 al. 2 OASA). La jurisprudence se montre particulièrement rigoureuse en matière de stupéfiants (ATF 2C_269/2007 du 8 octobre 2007 consid. 4.2; 122 II 433 consid. 2c p. 436), la protection de la collectivité publique face au développement du marché de la drogue constituant incontestablement un intérêt public prépondérant justifiant l'éloignement d'un étranger qui s'est rendu coupable d'infraction grave à la loi sur les stupéfiants. Les étrangers qui sont mêlés au commerce des stupéfiants doivent ainsi s'attendre à faire l'objet de mesures d'éloignement (ATF 2C_418 du 30 novembre 2009 consid. 5.2; 2A.557/2005 du 21 octobre 2005 consid. 3.2; 2A.626/2004 du 6 mai 2005 consid. 5.2.2; arrêt PE.2009.0532 du 25 janvier 2010 consid. 4 p. 10). De plus, la jurisprudence estime qu'un étranger qui commet de nombreux délits mineurs, ne s'acquitte pas du paiement des amendes qui lui ont été infligées et ignore les avertissements qui lui sont adressés démontre qu'il n'est pas désireux ou capable de se conformer à l'ordre juridique en vigueur dans son pays d'accueil (ATF 2A.267/2001 du 23 octobre 2001 consid. 3a). Enfin, la dépendance à l'aide sociale constitue également un motif de révocation de l'autorisation de séjour au sens de l'art. 62 LEtr (let. e). bb) Même lorsqu'un motif de révocation de l'autorisation est réalisé, le prononcé de la révocation ne se justifie que si la pesée des intérêts à effectuer dans le cas d'espèce fait apparaître la mesure comme proportionnée aux circonstances (ATF 135 II 377 consid. 4.3 p. 381).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Quand la révocation se fonde sur la commission d'une infraction, la peine infligée par le juge pénal est le premier critère servant à évaluer la gravité de la faute et à procéder à la pesée des intérêts en présence (arrêts 2C_651/2009 du 1 er mars 2010 consid. 4.2; 2C_418/2009 du 30 novembre 2009 consid. 4.1). La jurisprudence considère en outre qu'il existe un intérêt public prépondérant à éloigner des étrangers qui ont commis des infractions graves à la loi fédérale sur les stupéfiants, même lorsque ces étrangers vivent en Suisse depuis de nombreuses années (ATF 122 II 433 consid. 2c p. 436). En pareil cas, seules des circonstances exceptionnelles permettent de faire pencher la balance des intérêts en faveur de l'étranger en cause (ATF 2C_464/2009 du 21 octobre 2009 consid. 5). b) En l'espèce, le recourant a fait l'objet de nombreuses condamnations pénales. Il a en particulier été condamné à une peine d'emprisonnement de sept mois pour brigandage ainsi qu'à une peine privative de liberté de douze mois pour infraction grave et contravention à la loi fédérale sur les stupéfiants. A ceci s'ajoutent des condamnations à dix jours d'emprisonnement pour conduite en état d'ébriété, trois jours d'arrêts pour conduite sans permis, trois jours d'emprisonnement pour non restitution du permis ou de plaques de contrôle, quinze jours d'arrêts pour violation simple des règles de la circulation routière et ivresse au volant ainsi que de multiples interpellations du recourant en possession d'héroïne. De plus, le recourant ne s'est pas acquitté du paiement de plusieurs amendes qui ont dû être converties en peines privatives de liberté de substitution. Au regard de la jurisprudence, les condamnations les plus importantes du recourant à des peines privatives de liberté de douze respectivement sept mois suffiraient à éteindre son droit au regroupement familial en application des art. 51 et 61 let. b LEtr. Sous l'angle de l'atteinte à la sécurité et à l'ordre publics, cette extinction se justifie d'autant plus au vu du comportement du recourant qui n'a eu de cesse d'enfreindre l'ordre juridique suisse depuis qu'il y vit. L'on relèvera que le recourant s'est rendu coupable d'infraction grave à la loi fédérale sur les stupéfiants alors que la jurisprudence se montre particulièrement sévère en la matière. En outre, il a régulièrement omis de s'acquitter du paiement des amendes qui lui ont été infligées. Au vu des multiples récidives du recourant, aucune perspective d'amendement ne semble être envisageable. Depuis qu'il est arrivé en Suisse, il n'a pas su s'adapter à l'ordre établi et présente, par ses comportements délictueux, une menace pour la sécurité. Enfin, il sied de rappeler que le recourant fait l'objet de poursuites et dépend depuis plusieurs années de l'aide sociale pour vivre. Il existe incontestablement des motifs de révocation au sens de l'art. 61 LEtr, dont la réalisation entraîne l'extinction du droit à une autorisation de séjour en application de l'art. 51 LEtr. Sous l'angle de la proportionnalité, la décision attaquée n'est pas non plus critiquable. Le recourant est entré en Suisse en 2001 alors qu'il était âgé de près de 23 ans. Depuis lors, son comportement a donné lieu à de nombreuses condamnations. En outre, ses relations avec son épouse et leur fils sont fluctuantes. Quand bien même la réalité de la reprise de la vie commune eût été établie, cette relation familiale ne saurait prévaloir au vu du comportement répréhensible du recourant et de la gravité des infractions qui lui sont reprochées.</w:t>
      </w:r>
    </w:p>
    <w:p>
      <w:r>
        <w:rPr>
          <w:b/>
        </w:rPr>
        <w:t>E. 6</w:t>
      </w:r>
    </w:p>
    <w:p>
      <w:r>
        <w:t>Le recourant se prévaut en outre de droit au respect de sa vie privée et familiale tel que garanti par l’art. 8 § 1 de la Convention du 4 novembre 1950 de sauvegarde des droits de l'homme et des libertés fondamentales (CEDH; RS 0.101). a) Un étranger peut, selon les circonstances, se prévaloir de l'art. 8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Le membre de la famille auprès duquel le regroupement familial est requis doit donc bénéficier d’un droit de présence assuré en Suisse. D'après la jurisprudence, les relations familiales qui peuvent fonder, en vertu de l'art. 8 § 1 CEDH, un droit à une autorisation de police des étrangers sont avant tout les rapports entre époux ainsi qu'entre parents et enfants mineurs vivant ensemble ( ATF 120 Ib 257 consid. 1d p. 261).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les arrêts cités). Ce droit n'est cependant pas absolu et une ingérence dans l’exercice du droit au respect de la vie privée et familiale est possible conformément à l’art. 8 §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sont tenues d’accorder une autorisation de séjour sur la base de l’art. 8 CEDH doit être résolue sur la base d’une pesée de tous les intérêts publics et privés en présence. Il faut qu'il existe des liens familiaux vraiment forts dans les domaines affectif et économique pour que l'intérêt public à une politique restrictive en matière de séjour des étrangers et d'immigration passe au second plan (ATF 120 Ib 1 consid. 3c p. 5 et les références citées; arrêt PE.2006.0132 du 19 février 2007 consid. 3a p. 5). b) L'examen du cas d'espèce sous l'angle de l'art. 8 CEDH ne conduit pas à un autre résultat. En effet, par son comportement et du fait qu'il émarge durablement à l'aide sociale, le recourant porte atteinte à la sûreté publique et au bien-être économique de son pays d'accueil. Compte tenu de la situation familiale particulière et de l'absence de perspective d'amélioration du comportement du recourant, la protection de ces intérêts publics l'emporte sur son intérêt privé à rester en Suisse auprès de son épouse et de leur fils. A cet égard, le recourant n'a pas établi entretenir une relation intacte avec ce dernier. L'on relèvera pour le surplus que rien n'empêche l'épouse du recourant, qui est également de nationalité macédonienne, d'accompagner son mari dans leur pays d'origine.</w:t>
      </w:r>
    </w:p>
    <w:p>
      <w:r>
        <w:rPr>
          <w:b/>
        </w:rPr>
        <w:t>E. 7</w:t>
      </w:r>
    </w:p>
    <w:p>
      <w:r>
        <w:t>A fortiori , le recourant ne peut pas non plus prétendre à l'octroi d'une autorisation d'établissement en application de l'art. 43 al. 2 LEtr, ces droits découlant de cette disposition étant éteints pour les motifs exposés précédemment (cf. consid. 4).</w:t>
      </w:r>
    </w:p>
    <w:p>
      <w:r>
        <w:rPr>
          <w:b/>
        </w:rPr>
        <w:t>E. 8</w:t>
      </w:r>
    </w:p>
    <w:p>
      <w:r>
        <w:t>Au vu des considérations qui précèdent, l'autorité intimée n'a pas abusé de son pouvoir d'appréciation en refusant de renouveler l'autorisation de séjour du recourant, subsidiairement de transformer son autorisation de séjour en autorisation d'établissement. Le recours doit ainsi être rejeté aux frais du recourant qui n'a pas droit à des dépens (art. 49,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