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PE.2009.0294 vom 31. Juli 2009</w:t>
      </w:r>
    </w:p>
    <w:p>
      <w:r>
        <w:t>VD Tribunal cantonal, 2009-07-31, FR</w:t>
      </w:r>
    </w:p>
    <w:p>
      <w:r>
        <w:rPr>
          <w:b/>
        </w:rPr>
        <w:t xml:space="preserve">Quelle: </w:t>
      </w:r>
      <w:r>
        <w:t>https://mcp.opencaselaw.ch/entscheid/vd_omni_PE.2009.0294</w:t>
      </w:r>
    </w:p>
    <w:p>
      <w:r>
        <w:t>FR: VD_OMNI PE.2009.0294 du 31 juillet 2009</w:t>
      </w:r>
    </w:p>
    <w:p>
      <w:r>
        <w:t>IT: VD_OMNI PE.2009.0294 del 31 luglio 2009</w:t>
      </w:r>
    </w:p>
    <w:p>
      <w:pPr>
        <w:pStyle w:val="Heading2"/>
      </w:pPr>
      <w:r>
        <w:t>Regeste</w:t>
      </w:r>
    </w:p>
    <w:p>
      <w:r>
        <w:t>X.___________SA/Service de l'emploi, Service de la population (SPOP) | L'employeur potentiel (société active ans le domaine des métaux) admet ne pas avoir procédé à des recherches appronfondies sur le marché local, ni européen (annonces dans la presse, à l'ORP, etc. ) avant d'engager la collaboratrice russe à son service en qualité de "représentante de de vente/logistique". Refus du SDE confirmé et rejet du recours.</w:t>
      </w:r>
    </w:p>
    <w:p>
      <w:pPr>
        <w:pStyle w:val="Heading2"/>
      </w:pPr>
      <w:r>
        <w:t>Erwägungen</w:t>
      </w:r>
    </w:p>
    <w:p>
      <w:r>
        <w:rPr>
          <w:b/>
        </w:rPr>
        <w:t>E. 1</w:t>
      </w:r>
    </w:p>
    <w:p>
      <w:r>
        <w:t>a) Aux termes de l'art. 92 al. 1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polices des étrangers. b) 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2</w:t>
      </w:r>
    </w:p>
    <w:p>
      <w:r>
        <w:t>La Russie n’est pas membre de l’Union européenne (UE) ; elle n’est pas non plus membre de l’Association européenne de libre-échange (AELE). En vertu de l’art. 2 LEtr, les dispositions de cette loi sont donc applicables aux ressortissants russes, à l’exclusion des accords conclus avec les deux institutions précitées.</w:t>
      </w:r>
    </w:p>
    <w:p>
      <w:r>
        <w:rPr>
          <w:b/>
        </w:rPr>
        <w:t>E. 3</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 la directive « I. Domaine des étrangers » édictée par l’Office fédéral des migrations (ODM), dans sa teneur au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l’ordonnance fédérale du</w:t>
      </w:r>
    </w:p>
    <w:p>
      <w:r>
        <w:rPr>
          <w:b/>
        </w:rPr>
        <w:t>E. 6</w:t>
      </w:r>
    </w:p>
    <w:p>
      <w:r>
        <w:t>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b)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le tribunal de céans a jugé que l'annonce du poste vacant à l'office régional de placement et la mention de quatre offres de services insatisfaisantes ne suffisait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Ces arrêts, rendus sous l’empire des art. 7 et 8 OLE, restent pleinement valables pour l’application des dispositions de la nouvelle loi sur les étrangers. 4. Dans le cas présent, l’engagement par la société recourante d’Y.____________, ressortissante russe, est soumis à l’ordre de priorité au sens de l’art. 21 al. 1 LEtr. La recourante explique à ce propos que son choix s’est porté sur l'intéressée après qu’elle a procédé à des recherches qui seraient restées infructueuses : elle aurait tout d’abord effectué des recherches en septembre 2007 pour engager finalement une Suissesse qui l’a quittée pendant le temps d’essai. La taille de la société ne lui permettrait pas de consacrer un temps important à la recherche et à la formation d’un collaborateur, dans un domaine qui s’avère très spécifique. En d’autres termes, la recourante reconnaît n’avoir procédé à aucune des recherches au sens décrit ci-dessus avant de porter son choix sur Y.____________. Dans ces circonstances, on ne saurait considérer que la recourante a démontré de façon convaincante avoir déployé des efforts suffisants pour recruter une responsable de vente qualifiée sur le marché suisse ou au sein de l'UE ou de l'AELE. En ne jugeant pas utile de procéder à des recherches approfondies, la recourante laisse à penser qu’elle a privilégié une candidate provenant d'un Etat tiers et qu'elle n'entend guère procéder à des démarches sérieuses sur le marché local de l'emploi, ce qui devrait pourtant être la cible prioritaire de ses recherches. Pour ce motif déjà, le recours doit être rejeté. On relève de surcroît qu’Y.____________, en qualité de responsable de vente, ne peut prétendre disposer de qualifications personnelles particulières au sens de l’art. 23 LEtr. Un salaire de 5’500 fr. brut par mois, certes de loin pas négligeable, n’est cependant pas celui d’un spécialiste au sens exposé sous ch. 4 a) ci-dessus. La recourante en est d’ailleurs bien consciente puisqu’elle admet avoir versé à une précédente collaboratrice exerçant les mêmes fonctions un salaire de 6'500 fr. Cela étant, il appert que la décision du SDE du 11 mai 2009 est pleinement justifiée, la demande ne remplissant notamment pas les conditions des art. 18, 21 al. 1 et 23 LEtr. L’autorité intimée n'a donc ni abusé ni excédé son pouvoir d'appréciation en refusant de délivrer l'autorisation litigieuse. 5. Le recours doit ainsi être rejeté et la décision attaquée confirmée. Les frais seront mis à la charge de la recourante;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