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PE.2009.0244 vom 27. November 2009</w:t>
      </w:r>
    </w:p>
    <w:p>
      <w:r>
        <w:t>VD Tribunal cantonal, 2009-11-27, FR</w:t>
      </w:r>
    </w:p>
    <w:p>
      <w:r>
        <w:rPr>
          <w:b/>
        </w:rPr>
        <w:t xml:space="preserve">Quelle: </w:t>
      </w:r>
      <w:r>
        <w:t>https://mcp.opencaselaw.ch/entscheid/vd_omni_PE.2009.0244</w:t>
      </w:r>
    </w:p>
    <w:p>
      <w:r>
        <w:t>FR: VD_OMNI PE.2009.0244 du 27 novembre 2009</w:t>
      </w:r>
    </w:p>
    <w:p>
      <w:r>
        <w:t>IT: VD_OMNI PE.2009.0244 del 27 novembre 2009</w:t>
      </w:r>
    </w:p>
    <w:p>
      <w:pPr>
        <w:pStyle w:val="Heading2"/>
      </w:pPr>
      <w:r>
        <w:t>Regeste</w:t>
      </w:r>
    </w:p>
    <w:p>
      <w:r>
        <w:t>X c/Service de l'emploi, Service de la population (SPOP) | Refus confirmé d'une demande de main d'oeuvre étrangère en faveur d'un ressortissant bulgare engagé en qualité d'aide-maçon. L'employeur n'a pas démontré de façon convaincante avoir déployé des efforts suffisants pour trouver un employé sur le marché indigène (une ou deux annonces publiées dans le journal 24heures qui dateraient d'un ou de deux ans; ORP pas contacté).</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a) L’adhésion de la Bulgarie et de la Roumanie à l’Union Européenne, le 1er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RS 0.142.112.681.1) est entré en vigueur par échanges de notes le 1er juin 2009. Il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L'Office fédéral des migrations (ci-après: l'ODM) précise sous le ch. 5.2.2.1 de sa directive II Accord sur la circulation des personnes (version 01.6.09) que, c onformément au protocole II à l’ALCP,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b) Avant l'entrée en vigueur du protocole, les règles prévues par la loi fédérale du 16 décembre 2005 sur les étrangers (LEtr; RS 142.20) et par l’ordonnance fédérale du 24 octobre 2007 relative à l’admission, au séjour et à l’exercice d’une activité lucrative (OASA; RS 142.201) s'appliquaient (voir art. 10 à 12 de l’ordonnance fédérale du 22 mai 2002 sur l’introduction de la libre circulation des personnes [OLCP; RS 142.203]).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L'art. 21 al. 1 LEtr précise qu'un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L'ordre de priorité fixé à l’art. 21 al. 1 LEtr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 de l'ODM I Domaine des étrangers,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seule fin de s’acquitter d’une exigence (p. ex. une fois le contrat de travail signé par le candidat)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 de l'ODM I Domaine des étrangers, ch. 4.3.2.2). Il convient de relever que le ch. 5.5.2 de la Directive de l'ODM II Accord sur la circulation des personnes fixe des exigences similaires. c) Il résulte de ce qui précède que, tant sous l'ancien régime applicable au moment où la décision attaquée a été rendue que sous le régime actuel, le recourant n'est en droit d'obtenir une autorisation de séjour avec activité lucrative pour son employé que si, malgré ses efforts, il n'a pas trouvé de travailleur sur le marché indigène correspondant au profil recherché (voir, pour un cas similaire concernant l'engagement d'un ressortissant roumain, arrêt PE.2009.0081 du 8 septembre 2009).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Cette rigueur a conduit à refuser les autorisations requises,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Ces arrêts, rendus sous l’empire des art. 7 et 8 OLE, restent pleinement valables au regard des dispositions de la nouvelle loi sur les étrangers (arrêt PE.2009.0081 précité, ainsi que les références). En l'espèce, le recourant a expliqué à l'audience avoir mis une ou deux annonces dans le journal 24Heures. Il n'en avait toutefois pas gardé une copie. Cette ou ces annonces dateraient par ailleurs d'un ou de deux ans. En outre, le recourant a admis ne pas s'être adressé à un office régional de placement. Dans ces circonstances, force est de constater que le recourant n'a pas démontré de façon convaincante avoir déployé des efforts suffisants pour trouver un aide-maçon sur le marché indigène. Le recourant n'a ainsi pas respecté l'ordre de priorité auquel est soumis l'engagement d'un ressortissant bulgare. C'est dès lors à juste titre que l'autorité intimée a refusé d'octroyer l'autorisation sollicitée.</w:t>
      </w:r>
    </w:p>
    <w:p>
      <w:r>
        <w:rPr>
          <w:b/>
        </w:rPr>
        <w:t>E. 3</w:t>
      </w:r>
    </w:p>
    <w:p>
      <w:r>
        <w:t>Les considérants qui précèdent conduisent au rejet du recours et à la confirmation de la décision attaquée. Le recourant, qui succombe, supportera les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