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PE.2009.0240 vom 25. Februar 2010</w:t>
      </w:r>
    </w:p>
    <w:p>
      <w:r>
        <w:t>VD Tribunal cantonal, 2010-02-25, FR</w:t>
      </w:r>
    </w:p>
    <w:p>
      <w:r>
        <w:rPr>
          <w:b/>
        </w:rPr>
        <w:t xml:space="preserve">Quelle: </w:t>
      </w:r>
      <w:r>
        <w:t>https://mcp.opencaselaw.ch/entscheid/vd_omni_PE.2009.0240</w:t>
      </w:r>
    </w:p>
    <w:p>
      <w:r>
        <w:t>FR: VD_OMNI PE.2009.0240 du 25 février 2010</w:t>
      </w:r>
    </w:p>
    <w:p>
      <w:r>
        <w:t>IT: VD_OMNI PE.2009.0240 del 25 febbraio 2010</w:t>
      </w:r>
    </w:p>
    <w:p>
      <w:pPr>
        <w:pStyle w:val="Heading2"/>
      </w:pPr>
      <w:r>
        <w:t>Regeste</w:t>
      </w:r>
    </w:p>
    <w:p>
      <w:r>
        <w:t>A. X.________ c/Service de la population (SPOP) | Refus de délivrer une autorisation de séjour à un adolescent originaire de République démocratique du Congo entré illégalement en Suisse pour venir vivre auprès de sa tante qui l'a adopté suite au décès de sa mère. Le recourant ne peut se prévaloir de l'art. 8 CEDH, dans la mesure où il ne s'agit pas en l'espèce de maintenir en Suisse une cellule familiale préexistante, mais plutôt d'en créer une nouvelle. Recours rejeté.</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En l’espèce, la demande d'autorisation de séjour a été requise par la tante du recourant le 22 août 2007, soit avant l'entrée en vigueur de la LEtr; le litige doit ainsi être examiné à l’aune de l'ancien droit.</w:t>
      </w:r>
    </w:p>
    <w:p>
      <w:r>
        <w:rPr>
          <w:b/>
        </w:rPr>
        <w:t>E. 2</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[LPA]; RSV 173.36). La LSEE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 Selon l'art. 17 al. 2 3 ème phrase LSEE, les enfants célibataires âgés de moins de dix-huit ans d'un étranger au bénéfice d’une autorisation d'établissement ont le droit d'être inclus dans l'autorisation d'établissement aussi longtemps qu'ils vivent auprès de leurs parents. Cette disposition est applicable par analogie à l’enfant étranger d’un ressortissant suisse, célibataire et âgé de moins de 18 ans, pour autant que les conditions d'un regroupement familial différé soient remplies (ATF 129 II 11 ss; 126 II 329; 125 II 585 ss et 633 ss; 124 II 289; 119 Ib 81 ss; 118 Ib 153 ss; voir également Directives et commentaires de l'Office fédéral des migrations sur l'entrée, le séjour et le marché du travail, 3ème version remaniée et adaptée, mai 2006 [ci-après: directives ODM], ch. 661.1) .</w:t>
      </w:r>
    </w:p>
    <w:p>
      <w:r>
        <w:rPr>
          <w:b/>
        </w:rPr>
        <w:t>E. 4</w:t>
      </w:r>
    </w:p>
    <w:p>
      <w:r>
        <w:t>Dans le cas présent, le jugement du Tribunal de paix de 2.******** du 23 septembre 2003 prononce l'adoption du recourant et de son frère par leur tante maternelle et son époux, tous deux de nationalité suisse. Cette adoption doit être considérée comme une adoption simple, ses effets n'étant ni définitifs, ni absolus (voir courriel de l'Ambassade de Suisse à 2.******** du 18 novembre 2004). a) Le tribunal a déjà eu l'occasion d'examiner les conditions de la reconnaissance en droit suisse et les effets sur le droit au regroupement familial d'une adoption simple prononcée à l'étranger. Dans une affaire PE.2006.0711 du 20 juillet 2007, le tribunal a retenu, en rappelant la jurisprudence du Tribunal fédéral (ATF 2A 36/1995 du 9 janvier 1996, consid. 1c et d), que les dispositions relatives au regroupement familial (art. 17 al. 2 LSEE ou 38 OLE) ne sont applicables qu'en cas d'adoption complète et reconnue comme telle selon le droit suisse. Dans cette affaire, l'adoption locale, qualifiée de partielle, ne rompait pas totalement les liens de filiation avec les parents biologiques, si bien que l'autorisation de séjour requise ne pouvait être examinée qu'au regard de l'art. 35 OLE, consacré aux enfants placés ou adoptifs. Plus récemment, dans un arrêt PE.2007.0506 du 18 juin 2009, le tribunal a rappelé que la reconnaissance de l’adoption simple, avec ses effets diminués (subsistance des liens de filiations antérieurs), ne pose pas de problèmes particuliers, pour autant que l’adoption intervenue à l’étranger ait été prononcée dans l’Etat du domicile ou dans l’Etat national de l’adoptant ou des époux adoptant (art. 78 al. 1 de la loi fédérale du 18 décembre 1987 sur le droit international privé [LDIP; RS 291]). Il convient néanmoins de veiller à ce que le consentement à l’adoption des parents naturels, qui est inhérent à l’ordre public suisse, ait été donné (ATF 120 II 87, consid. 3). Du moment qu’une adoption ne viole pas l’ordre public, le Tribunal fédéral ne voit aucun inconvénient à inscrire une adoption simple dans le registre d’état civil, en tant qu’adoption simple (ATF 5A.20/2005, consid. 3.4.2). Quant aux effets de l'adoption simple sur le plan du regroupement familial, le tribunal a estimé que, s’il est certain que le droit au regroupement familial d'un enfant mineur d'un titulaire d'une autorisation d'établissement (art. 17 al. 2 LSEE; par analogie, d'un ressortissant suisse) trouve application en cas d’adoption plénière, il n’est en revanche pas sûr que le Tribunal fédéral ait voulu l'exclure, dans tous les cas de figure, en cas d’adoption simple (voir arrêt PE.2007.0506 précité, consid. 4c). b) En l'espèce, il n'est pas contesté que le consentement du père de l'enfant n'a pas été donné, ce qui est, selon la jurisprudence du Tribunal fédéral, contraire à l'ordre juridique suisse. C'est d'ailleurs ce motif qui a empêché la transcription de l'adoption simple par le Service de l'état civil et des naturalisations du Canton de 3.******** dans les registres d'état civil suisses. Ce refus n'a d'ailleurs pas été contesté et, bien qu'ayant été informés de la possibilité de déposer une demande en vue d'une adoption en Suisse, la tante du recourant et son époux n'ont entamé aucune démarche dans ce sens. Il n'appartient pas au tribunal, dans le cadre de l'examen du droit à l'autorisation de séjour du recourant, de se prononcer sur cette question, qui ressort, en première instance du moins, de l’autorité cantonale de surveillance en matière d'état civil du lieu d'origine du (ou des) parent(s) suisse(s) (art. 32 LDIP, en relation avec l’art. 7 al. 2 let. m de l'ordonnance du 28 avril 2004 sur l’état civil [OEC 211.112.2]; voir également directives ODM, ch. 542.12). L'adoption n'ayant pas été reconnue et retranscrite, elle ne peut produire des effets en matière de regroupement familial. d) On relèvera encore que, si le tribunal a estimé, dans l'arrêt PE.2007.0506 précité, que le lien de filiation engendré par l’adoption simple est susceptible d’entrer dans le champ d’application de l’art. 8 CEDH, le recourant ne peut en l'espèce, se prévaloir d'un droit au séjour fondé sur cet article. En effet, l'art. 8 § 1 CEDH, qui garantit le droit au respect de la vie privée et familiale, est 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ou de parenté (par exemple entre frères et soeurs, entre grands-parents et petits-enfants, entre un enfant âgé de plus de dix-huit ans et un parent résidant sur sol helvétique) qu'à la condition que l'étranger se trouve dans un rapport de dépendance vis-à-vis de la personne établie en Suisse; si tel est le cas lorsque celui-ci est affecté d'un handicap (physique ou mental) grave ou d'une maladie grave rendant irremplaçable l'assistance permanente de proches dans sa vie quotidienne (ATF 2C_174/2007 du 12 juillet 2007 consid. 3.4 et jurisprudence citée), un tel rapport de dépendance pourrait également être admis lorsqu'un adulte membre de la fratrie se substitue aux parents pour la prise en charge de l'un de ses frères et soeurs, mineur et totalement dépendant (cf. ATF 120 Ib 257 consid. 1/d in fine p. 261). Une telle relation de dépendance ne saurait être admise en l'espèce, dans la mesure où, avant le décès de sa mère en 2003 et son arrivée en Suisse en 2007, le recourant vivait en République démocratique du Congo, si bien qu'il ne s'agit pas de maintenir en Suisse une cellule familiale préexistante, mais plutôt d'en créer une nouvelle (TAF, C-7481/2006 du 19 septembre 2008, consid. 5.2 et la jurisprudence citée). Ainsi, la relation entre le recourant et sa tante n'est pas protégée par l'art.</w:t>
      </w:r>
    </w:p>
    <w:p>
      <w:r>
        <w:rPr>
          <w:b/>
        </w:rPr>
        <w:t>E. 8</w:t>
      </w:r>
    </w:p>
    <w:p>
      <w:r>
        <w:t>Il résulte des considérants qui précèdent que le recours doit être rejeté et la décision attaquée confirmée. Compte tenu du fait que le recourant, mineur, est représenté par la Tutrice générale, les frais sont laissés à la charge de l'Etat et il n'est pas alloué de dépens (art. 49 et 55 de la loi du 28 octobre 2008 sur la procédure administrative; RSV 173.36). Suite à une séance de coordination de la Chambre de police des étrangers (art. 21 al. 1 du règlement organique du Tribunal administratif - depuis le 1 er janvier 2008: la CDAP -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