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PE.2009.0208 vom 28. Oktober 2009</w:t>
      </w:r>
    </w:p>
    <w:p>
      <w:r>
        <w:t>VD Tribunal cantonal, 2009-10-28, FR</w:t>
      </w:r>
    </w:p>
    <w:p>
      <w:r>
        <w:rPr>
          <w:b/>
        </w:rPr>
        <w:t xml:space="preserve">Quelle: </w:t>
      </w:r>
      <w:r>
        <w:t>https://mcp.opencaselaw.ch/entscheid/vd_omni_PE.2009.0208</w:t>
      </w:r>
    </w:p>
    <w:p>
      <w:r>
        <w:t>FR: VD_OMNI PE.2009.0208 du 28 octobre 2009</w:t>
      </w:r>
    </w:p>
    <w:p>
      <w:r>
        <w:t>IT: VD_OMNI PE.2009.0208 del 28 ottobre 2009</w:t>
      </w:r>
    </w:p>
    <w:p>
      <w:pPr>
        <w:pStyle w:val="Heading2"/>
      </w:pPr>
      <w:r>
        <w:t>Regeste</w:t>
      </w:r>
    </w:p>
    <w:p>
      <w:r>
        <w:t>X.____________, Y.____________, Z.____________, A.____________/Service de la population (SPOP) | Couple de ressortissants colombiens sollicitant l'octroi d'autorisations de séjour fondées sur l'art. 30 al. 1 let. b LEtr. Refus du SPOP confirmé, notamment au vu de la brièveté de la durée (3 ans et 11 mois) de leur séjour en Suisse, et du fait que leurs enfants, âgés de 11 ans et 5 ans et demi, bien que scolarisés ici, sont assez jeunes pour pouvoir s'adapter à un nouvel environnement. Quant aux allégations des recourants selon lesquelles ils seraient en danger de mort s'ils retournaient en Colombie, elles ne sont pas crédibles au vu d'une autre déclaration du recourant à la police, selon laquelle il est venu en Suisse pour fuir la misère de son pays. Au demeurant, même si ces menaces étaient établies, elles constituent des circonstances à faire valoir dans le cadre d'une demande d'asile.</w:t>
      </w:r>
    </w:p>
    <w:p>
      <w:pPr>
        <w:pStyle w:val="Heading2"/>
      </w:pPr>
      <w:r>
        <w:t>Erwägungen</w:t>
      </w:r>
    </w:p>
    <w:p>
      <w:r>
        <w:rPr>
          <w:b/>
        </w:rPr>
        <w:t>E. 1</w:t>
      </w:r>
    </w:p>
    <w:p>
      <w:r>
        <w:t>a) Aux termes de l'art. 92 al. 1 LPA,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Est litigieuse en l'espèce la question de savoir si c'est à juste titre que l'autorité intimée a refusé d'accorder des autorisations de séjour aux recourants.</w:t>
      </w:r>
    </w:p>
    <w:p>
      <w:r>
        <w:rPr>
          <w:b/>
        </w:rPr>
        <w:t>E. 2.1</w:t>
      </w:r>
    </w:p>
    <w:p>
      <w:r>
        <w:t>p. 429 ; 119 Ib 492 consid. 5b/bb p. 505 s.). Le droit d'être entendu découlant de l'art. 29 al. 2 Cst.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Dans le cas présent, de l’avis de la Cour, ni l'audition des recourants, ni des débats publics ne sont nécessaires, les éléments de fait déterminants n'étant pas litigieux et les parties ayant pu faire valoir leurs moyens de manière complète par écrit, les recourants notamment par le dépôt de deux écritures.</w:t>
      </w:r>
    </w:p>
    <w:p>
      <w:r>
        <w:rPr>
          <w:b/>
        </w:rPr>
        <w:t>E. 3</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Tout d'abord, il convient d'examiner la requête des recourants d'être entendus lors d’une audience de jugement.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5</w:t>
      </w:r>
    </w:p>
    <w:p>
      <w:r>
        <w:t>a) Selon l’art. 30 al. 1 let. b LEtr, mise en relation avec l’art. 31 de l’ordonnance relative à l’admission, au séjour et à l’exercice d’une activité lucrative (OASA; RS 142.201), une autorisation de séjour peut être octroyée - en dérogation aux conditions d’admission posées aux art. 18 à 29 LEtr - à l’étranger qui peut faire valoir qu’il se trouve dans une situation personnelle d’extrême gravité. Une telle autorisation est qualifiée, dans la pratique, de permis "humanitaire". Il s’agit d’une procédure que les personnes dont le séjour en Suisse n'est pas régulier - soit les clandestins comme en l’espèce - peuvent en principe engager en tout temps (cf. la circulaire du 1 er janvier 2007 établie par l’ODM relative à la pratique des autorités fédérales concernant la réglementation du séjour des étrangers dans les cas personnels d'extrême gravité, qui demeure applicable suite à l’entrée en vigueur, le 1 er janvier 2008, de la LEtr [cf. Directives et Commentaires édités par l'Office fédéral des migrations, Droit des étrangers, version du 1 er janvier 2008, ch. 5.5.]). b) D’après l’art. 31 alinéa 1 OASA, il convient de tenir compte notamment, lors de l’appréciation des cas individuels d'extrême gravité: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des possibilités de réintégration dans l’Etat de provenance (g). c) L’art. 30 al. 1 let. b LEtr s’apparente à l’art. 13 let. f OLE, abrogé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dérogations aux conditions d’admission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d) Selon le Tribunal fédéral (ATF 123 II 125 consid. 4b), 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S'agissant des enfants déjà scolarisés qui ont dès lors commencé à s’intégrer de manière autonome dans la réalité quotidienne suisse, le retour forcé peut constituer, le cas échéant, un véritable déracinement.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adaptée pour le mieux au système scolaire suisse et n’aurait pu se réadapter que difficilement à la vie quotidienne de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et les références).</w:t>
      </w:r>
    </w:p>
    <w:p>
      <w:r>
        <w:rPr>
          <w:b/>
        </w:rPr>
        <w:t>E. 6</w:t>
      </w:r>
    </w:p>
    <w:p>
      <w:r>
        <w:t>a) En l'espèce, les recourants invoquent la durée de leur séjour en Suisse ainsi que leur bonne intégration. A cet égard, ils affirment qu'ils sont indépendants financièrement, que leurs enfants sont scolarisés, qu'ils sont membres d'une église locale et pratiquent du sport en société. b) Si les recourants sont effectivement financièrement indépendants et que leur comportement n'a pas fait l'objet de plaintes, hormis celles tenant à l'illicéité de leur présence en Suisse, il sied de relever que la durée relativement courte (trois ans et onze mois) de leur séjour en Suisse ne saurait être considérée comme un élément constitutif d'un cas personnel d'extrême gravité. Concernant la durée de scolarisation de leurs deux enfants, il sied de relever que l 'aîné, âgé de onze ans, après avoir fréquenté l'école enfantine pendant une année et demie, ne suit l'école obligatoire que depuis une année et que la cadette, âgée de cinq ans et demi, fréquente l'école enfantine depuis une année. Conformément à la jurisprudence citée ci-dessus, ils sont encore assez jeunes pour pouvoir s'adapter, après d'éventuelles difficultés initiales, à un nouvel environnement. Par ailleurs, les recourants n’allèguent pas de difficultés de santé. Un retour en Colombie est donc possible, ce d’autant plus qu’ils ont vécu jusqu’à l'âge de 28 ans et 25 ans dans ce pays et qu’ils en sont donc fortement imprégné socialement et culturellement. Quant aux relations amicales et professionnelles qu’ils ont pu tisser en Suisse depuis leur arrivée, elles ne constituent pas des liens si étroits avec la Suisse qu'elles justifieraient une exemption aux mesures de limitation du nombre des étrangers, tel que cela ressort clairement de la jurisprudence fédérale. c) Les recourants invoquent encore la situation politique et sociale prévalant dans leur pays. Celui-ci est à leurs dires en proie à une insécurité et à une violence équivalant à une guerre civile en raison des actes perpétrés par différents groupes armés sur la population civile. En l'espèce, un éventuel retour en Colombie exposerait assurément les recourants à des difficultés importantes, mais rien ne permet d'affirmer qu'elles seraient plus graves pour eux que pour n'importe lesquels de leurs concitoyens se trouvant dans leur situation, appelés à quitter la Suisse au terme de leur séjour. En effet, s'agissant des allégations des intéressés dans le cadre de la procédure devant le SPOP et devant l'autorité de céans selon lesquelles ils seraient en danger de mort s'ils devaient retourner dans leur pays d'origine, on relèvera qu'elles ne sont guère crédibles au vu des déclarations de A.X.Y.________ à la police le 4 février 2008 lors d'un contrôle opéré par les inspecteurs de la Fédération vaudoise des entrepreneurs du chantier où il travaillait, dont il ressort qu'il est "venu en Suisse pour fuir la misère de (son) pays" . Or, selon la jurisprudence du Tribunal fédéral, l'exemption au sens de l'art. 30 al. 1 let. b LEtr n'a pas pour but de soustraire le requérant aux conditions de vie de son pays et on ne saurait tenir compte des circonstances générales (économiques, sociales, sanitaires ou scolaires) affectant l'ensemble de la population restée sur place, auxquelles les requérants seront également exposés à leur retour, sauf s'ils allèguent d'importantes difficultés concrètes propres à leur cas particulier (ATF 123 II 125 précité, consid. 5b/dd). On peut ainsi attendre des recourants qu'ils se réadaptent à leur existence passée et à la situation, même difficile, à laquelle ils pourront être confrontés en cas de renvoi, à l'instar de leurs compatriotes qui sont restés en Colombie. Au surplus, même si les menaces dont font état les recourants étaient établies, elles constitueraient des circonstances à faire valoir dans le cadre d'une demande d'asile, et non dans celui d'une demande d'autorisation de séjour, la disposition dérogatoire de l'art. 30 al. 1 er let .b LEtr n'étant pas destinée à permettre à un étranger de séjourner en Suisse pour des motifs liés à la protection de sa personne en raison d'une situation de guerre, d'abus des autorités étatiques ou d'actes de persécution dirigés contre lui (ATF 123 II 125 précité, consid. 5b/dd). d) Dans ces conditions, il n'y a pas lieu d'accorder aux recourants une exemption pour cas de rigueur selon l'art. 30 al. 1 let. b LEtr. e) Enfin, contrairement à ce qu'ils affirment, le recourant A.X.Y.________ ne jouit pas de qualifications personnelles particulières telles qu’elles sont requises par l’art. 23 LEtr, selon le premier alinéa duquel seuls les cadres, les spécialistes ou autres travailleurs qualifiés peuvent obtenir une autorisation de séjour (voir notamment les Directives et Commentaires édités par l’Office fédéral des migrations, I. Droit des étrangers, version du 1 er janvier 2008, ch. 4.7).</w:t>
      </w:r>
    </w:p>
    <w:p>
      <w:r>
        <w:rPr>
          <w:b/>
        </w:rPr>
        <w:t>E. 7</w:t>
      </w:r>
    </w:p>
    <w:p>
      <w:r>
        <w:t>En conclusion, le recours doit être rejeté et la décision du SPOP du 27 février 2009 confirmée.</w:t>
      </w:r>
    </w:p>
    <w:p>
      <w:r>
        <w:rPr>
          <w:b/>
        </w:rPr>
        <w:t>E. 8</w:t>
      </w:r>
    </w:p>
    <w:p>
      <w:r>
        <w:t>Les frais de justice sont arrêtés à 500 fr. (art. 4 al. 1 du Tarif des frais judiciaires en matière administrative [TFJAP; RSV 173.36.5.1]) et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