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PE.2009.0204 vom 13. November 2009</w:t>
      </w:r>
    </w:p>
    <w:p>
      <w:r>
        <w:t>VD Tribunal cantonal, 2009-11-13, FR</w:t>
      </w:r>
    </w:p>
    <w:p>
      <w:r>
        <w:rPr>
          <w:b/>
        </w:rPr>
        <w:t xml:space="preserve">Quelle: </w:t>
      </w:r>
      <w:r>
        <w:t>https://mcp.opencaselaw.ch/entscheid/vd_omni_PE.2009.0204</w:t>
      </w:r>
    </w:p>
    <w:p>
      <w:r>
        <w:t>FR: VD_OMNI PE.2009.0204 du 13 novembre 2009</w:t>
      </w:r>
    </w:p>
    <w:p>
      <w:r>
        <w:t>IT: VD_OMNI PE.2009.0204 del 13 novembre 2009</w:t>
      </w:r>
    </w:p>
    <w:p>
      <w:pPr>
        <w:pStyle w:val="Heading2"/>
      </w:pPr>
      <w:r>
        <w:t>Regeste</w:t>
      </w:r>
    </w:p>
    <w:p>
      <w:r>
        <w:t>X. c/Service de la population (SPOP) | Le recourant, de nationalité tunisienne, âgé de 29 ans et architecte de formation n'a pas démontré remplir les conditions d'octroi d'une autorisation de séjour pour études (inscription auprès d'une école, logement et moyens de subsistance). Arrêt se référant aux nouvelles directives de l'ODM du 1er juillet 2009 concernant le séjour des étrangers pour formation.</w:t>
      </w:r>
    </w:p>
    <w:p>
      <w:pPr>
        <w:pStyle w:val="Heading2"/>
      </w:pPr>
      <w:r>
        <w:t>Erwägungen</w:t>
      </w:r>
    </w:p>
    <w:p>
      <w:r>
        <w:rPr>
          <w:b/>
        </w:rPr>
        <w:t>E. 1</w:t>
      </w:r>
    </w:p>
    <w:p>
      <w:r>
        <w:t>a) Aux termes de l'art. 92 al. 1 de la loi du 28 octobre 2008 sur la procédure administrative (ci-après: LPA-VD; RSV 173.36),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 présent recours a donc été déposé en temps utile. Il satisfait également aux conditions formelles énoncées à l'art. 79 al. 1 LPA-VD, applicable par renvoi de l'art. 99 LPA-VD, et 16 al. 3 LPA-VD; il est donc recevable. Par ailleurs, le recourant, en tant que destinataire de la décision attaquée, a manifestement la qualité pour recourir au sens de l'art. 75 al. 1 litt. a LPA-VD, de sorte qu'il y a lieu d'entrer en matière sur le fond.</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Une seule formation ou un seul perfectionnement d’une durée maximale de huit ans est admis. Des dérogations ne sont possibles que dans des cas dûment motivés.</w:t>
      </w:r>
    </w:p>
    <w:p>
      <w:r>
        <w:rPr>
          <w:b/>
        </w:rPr>
        <w:t>E. 4</w:t>
      </w:r>
    </w:p>
    <w:p>
      <w:r>
        <w:t>En conclusion, le recours doit être rejeté et la décision attaquée confirm¿. Le frais de justice du recourant, qui succombe, sont arrêtés à 500 fr. (art. 49 LPA-VD; art. 4 al. 1 du tarif des frais judiciaires en matière de droit administratif et public [TFJAP]). Il n'y a pas lieu à l'allocation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