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PE.2009.0184 vom 7. Januar 2010</w:t>
      </w:r>
    </w:p>
    <w:p>
      <w:r>
        <w:t>VD Tribunal cantonal, 2010-01-07, FR</w:t>
      </w:r>
    </w:p>
    <w:p>
      <w:r>
        <w:rPr>
          <w:b/>
        </w:rPr>
        <w:t xml:space="preserve">Quelle: </w:t>
      </w:r>
      <w:r>
        <w:t>https://mcp.opencaselaw.ch/entscheid/vd_omni_PE.2009.0184</w:t>
      </w:r>
    </w:p>
    <w:p>
      <w:r>
        <w:t>FR: VD_OMNI PE.2009.0184 du 7 janvier 2010</w:t>
      </w:r>
    </w:p>
    <w:p>
      <w:r>
        <w:t>IT: VD_OMNI PE.2009.0184 del 7 gennaio 2010</w:t>
      </w:r>
    </w:p>
    <w:p>
      <w:pPr>
        <w:pStyle w:val="Heading2"/>
      </w:pPr>
      <w:r>
        <w:t>Regeste</w:t>
      </w:r>
    </w:p>
    <w:p>
      <w:r>
        <w:t>A. X.________ Y.________ Z.________ c/Service de la population (SPOP) | Refus de renouveler une autorisation de séjour, suite à la dissolution de l'union conjugale qui a duré un peu plus de 4 ans. Si la condition de l'art. 50 al. 1 let a LEtr (3 ans de mariage) est remplie, celle d'une intégration réussie fait défaut. Recourante ayant vécu durant 9 ans en Suisse, dont 7 dans le canton, qui ne maîtrise pas la langue française au point qu'elle n'a pu mener à terme aucun des stages entrepris dans le cadre du chômage au vu de cette lacune. Pas non plus de liens étroits tissés en Suisse. Absence de cas d'extrême gravité au sens de l'art. 50 al. 1 let b LEtr.</w:t>
      </w:r>
    </w:p>
    <w:p>
      <w:pPr>
        <w:pStyle w:val="Heading2"/>
      </w:pPr>
      <w:r>
        <w:t>Erwägungen</w:t>
      </w:r>
    </w:p>
    <w:p>
      <w:r>
        <w:rPr>
          <w:b/>
        </w:rPr>
        <w:t>E. 1</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2</w:t>
      </w:r>
    </w:p>
    <w:p>
      <w:r>
        <w:t>Dans le cas présent, bien qu'ayant apparemment bénéficié en 1995 d'une pièce de légitimation italienne de validité limitée, il n'est pas établi que la recourante dispose d'une nationalité autre que la nationalité brésilienne. Pour les membres de la famille ressortissants d'Etats non-membres de la CE ou de l'AELE (ressortissants d'Etats tiers), la poursuite du séjour après dissolution du mariage (décès ou divorce) est régie par les dispositions de la LEtr et ses ordonnances d'exécution (ODM, Directives sur l'introduction progressive de la libre circulation des personnes, version du 1 er juin 2009, chiffre 10.6.2).</w:t>
      </w:r>
    </w:p>
    <w:p>
      <w:r>
        <w:rPr>
          <w:b/>
        </w:rPr>
        <w:t>E. 3</w:t>
      </w:r>
    </w:p>
    <w:p>
      <w:r>
        <w:t>Le délai d'octroi de l'autorisation d'établissement est réglé à l'art. 34. L'art. 77 al. 1 à 3 de l'ordonnance du 24 octobre 2007 relative à l'admission, au séjour et à l'exercice d'une activité lucrative (OASA; RS 142.201) reprend, telle quelle cette disposition. L'al. 4 précise que l'étranger s'est bien intégré au sens de l'al. 1 let. a et de l'art. 50 al. 1 let. a LEtr notamment lorsqu'il respecte l'ordre juridique suisse et les valeurs de la Constitution fédérale (let. a) et lorsqu'il manifeste sa volonté de participer à la vie économique et d'apprendre la langue nationale parlée au lieu de domicile (let. b). Les directives fédérales précisent que la durée de la présence en Suisse, les liens personnels avec la Suisse (notamment les conséquences d'un refus pour les enfants), la situation professionnelle, le comportement personnel ainsi que les connaissances linguistiques sont par conséquent déterminants. Le cas échéant, il convient de tenir compte des raisons qui ont pu empêcher l’apprentissage de la langue parlée au lieu de domicile ou l’intégration économique (par ex. une situation familiale contraignante). Il faut également prendre en considération les circonstances ayant conduit à la dissolution du mariage ou de la communauté conjugale. En revanche, rien ne s’oppose à un retour dans le pays d’origine lorsque le séjour en Suisse a été de courte durée, que les personnes n’ont pas établi de liens étroits avec la Suisse et que leur réintégration dans le pays de provenance ne devrait pas poser de problème majeur (ODM, Directives LEtr, version du 1 er juillet 2009, chiffre 6.15.2). b) En l'espèce, l'union conjugale a duré un peu plus de quatre ans. Si la condition de la durée du mariage est remplie, celle d'une intégration réussie est discutable. La recourante a vécu de manière continue durant 9 ans en Suisse. Or, il résulte du dossier qu'en 2007, soit après sept ans de séjour dans le canton, elle n'a pu mener à terme aucun des stages entrepris dans le cadre du chômage en raison, notamment, de sa méconnaissance du français. On ne saurait ainsi considérer qu'elle a manifesté sa volonté d'apprendre la langue parlée à son lieu de domicile au sens de l'art. 77 al. 4 OASA. Au contraire, cette lacune démontre une absence particulière d'efforts de sa part tant lorsque durait la communauté conjugale qu'ensuite. La recourante n'a pas tissé de liens étroits en Suisse. Elle n'y a aucune famille, n'entretient plus de contacts avec son ex-époux – dont elle n'a pas eu d'enfant – et ne démontre pas avoir développé de réseau social. A cet égard, les quatre lettres de soutien produites ne sont pas déterminantes. Quant à la présence de sa sœur en Belgique, ce point est totalement étranger à la question du renouvellement de son autorisation de séjour en Suisse. Son intégration professionnelle n'est pas remarquable, puisque ce n'est qu'après avoir épuisé la contribution d'entretien versée par son ex-époux, les prestations de l'assurance-chômage et le RI pendant un certain temps que la recourante a commencé à exercer une activité d'aide-coiffeuse. Au vu de tous ces éléments, la durée de sa présence en Suisse, quoique non négligeable, n'est en rien déterminante puisque la recourante ne s'y est, durant toute cette période, pas créé d'attache particulière. En résumé, après un séjour de neuf ans dans le canton, excepté l'emploi que la recourante occupe depuis peu, aucun élément ne plaide en faveur d'une intégration réussie. Dans ces circonstances, il est douteux que les conditions de l'art. 50 al. 1 let. a LEtr soient réunies et que le droit à l'octroi d'une autorisation de séjour subsiste selon cette disposition. Partant, le SPOP n'a pas abusé de son pouvoir d'appréciation en ne renouvelant pas l'autorisation de séjour de la recourante en vertu de l'art. 50 al. 1 let. a LEtr.</w:t>
      </w:r>
    </w:p>
    <w:p>
      <w:r>
        <w:rPr>
          <w:b/>
        </w:rPr>
        <w:t>E. 4</w:t>
      </w:r>
    </w:p>
    <w:p>
      <w:r>
        <w:t>La recourante prétend également à une autorisation de séjour en application de l'art. 50 al. 1 let. b LEtr qui prévoit que le droit du conjoint à l'autorisation de séjour subsiste après la dissolution de la famille lorsque la poursuite du séjour en Suisse s'impose pour des raisons personnelles majeures. a) En sus de l'art. 50 al. 2 LEtr déjà cité qui précise que les raisons personnelles majeurs sont notamment données lorsque le conjoint est victime de violence conjugale et que la réintégration sociale dans le pays de provenance semble fortement compromise, l'art. 31 al. 1 OASA complète, selon son titre marginal, l'art. 50 al. 1 let. b LEtr de la manière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(PE.2009.0132 du 20 juillet 2009 consid. 4b/cc). Selon la jurisprudence,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b) La situation de la recourante ne présente aucune particularité qui laisserait entrevoir un cas individuel d'extrême gravité. On ne saurait admettre un cas d'application de l'art. 50 al. 1 let. b LEtr en l'espèce, qui suppose généralement que la personne ait subi des violences conjugales, ou, par extension, qu'une autre circonstance de même gravité soit réalisée. Il ressort certes du dossier un épisode au cours duquel son ex-époux a exercé une violence à son égard. Toutefois, il ne semble pas que la recourante ait considéré cet événement comme décisif pour elle dans la séparation. Quant aux difficultés d'un retour au Brésil qu'elle évoque – pays dans lequel elle a vraisemblablement vécu 30 ans, où elle a deux frères et dont elle parle la langue –, elles ne sont pas démontrées et ne suffisent pas à considérer que son départ de Suisse serait insurmontable. Ceci est d'autant plus vrai en regard de sa faible intégration. Partant, aucun des éléments constitutifs d'un cas de rigueur n'est réalisé en l'espèce.</w:t>
      </w:r>
    </w:p>
    <w:p>
      <w:r>
        <w:rPr>
          <w:b/>
        </w:rPr>
        <w:t>E. 5</w:t>
      </w:r>
    </w:p>
    <w:p>
      <w:r>
        <w:t>Compte tenu de ce qui précède, le recours doit être rejeté et la décision attaquée confirmée. La recourante, qui succombe, supportera les frais de justice, conformément à l'art. 49 al. 1 LPA-VD. Vu l'issue du pourvoi, le SPOP fixera un nouveau délai de départ à la recourante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