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PE.2009.0149 vom 27. August 2009</w:t>
      </w:r>
    </w:p>
    <w:p>
      <w:r>
        <w:t>VD Tribunal cantonal, 2009-08-27, FR</w:t>
      </w:r>
    </w:p>
    <w:p>
      <w:r>
        <w:rPr>
          <w:b/>
        </w:rPr>
        <w:t xml:space="preserve">Quelle: </w:t>
      </w:r>
      <w:r>
        <w:t>https://mcp.opencaselaw.ch/entscheid/vd_omni_PE.2009.0149</w:t>
      </w:r>
    </w:p>
    <w:p>
      <w:r>
        <w:t>FR: VD_OMNI PE.2009.0149 du 27 août 2009</w:t>
      </w:r>
    </w:p>
    <w:p>
      <w:r>
        <w:t>IT: VD_OMNI PE.2009.0149 del 27 agosto 2009</w:t>
      </w:r>
    </w:p>
    <w:p>
      <w:pPr>
        <w:pStyle w:val="Heading2"/>
      </w:pPr>
      <w:r>
        <w:t>Regeste</w:t>
      </w:r>
    </w:p>
    <w:p>
      <w:r>
        <w:t>X. c/Service de la population (SPOP) | Refus de renouveler l'autorisation de séjour confirmée. Le recourant s'est séparé de son épouse après un peu plus de deux ans de vie commune et aucune raison personnelle majeure n'impose la poursuite de son séjour en Suisse.</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Il en va de même des décisions de révocation rendues avant l'entrée en vigueur du nouveau droit, l'art. 126 al. 1 LEtr étant applicable par analogie (arrêts PE.2007.0352 du 11 février 2008 et PE.2007.0405 du 30 avril 2008; cf. également ATF 2C.625/2007 du 2 avril 2008 consid. 2).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décision refusant le renouvellement du permis de séjour ayant été rendue après l’entrée en vigueur de la LEtr, le recours doit être examiné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refusé de renouveler l'autorisation de séjour du recourant au motif que la vie commune effective avec son épouse était brève car elle n'avait duré que deux ans, qu'elle avait pris fin en juillet 2007 et qu'aucun enfant n'était issu de cette union. Pour sa part, le recourant fait valoir que la mariage perdure, qu'il a vécu avec son épouse sans interruption depuis août 2001 jusqu'en juillet 2007, tout en reconnaissant qu'elle était revenue en Suisse à un moment donné. Selon l'art. 43 al. 1 LEtr, le conjoint étranger du titulaire d'une autorisation d'établissement ainsi que ses enfants célibataires étrangers de moins de 18 ans ont droit à l'octroi d'une autorisation de séjour et à la prolongation de sa durée de validité, à condition de faire ménage commun avec lui. Aux termes de l'art. 43 al. 2 LEtr, après un séjour légal ininterrompu de cinq ans, le conjoint a droit à l’octroi d’une autorisation d’établissement. En l'espèce, l'union conjugale du recourant a été dissoute par le divorce, prononcé le 24 juin 2008 et devenu définitif et exécutoire le 16 janvier 2009. De plus, les époux avaient déjà cessé de faire ménage commun en juillet 2007. C'est ainsi à bon droit que l'autorité intimée a refusé le renouvellement de son autorisation de séjour sur la base de l'art. 43 al. 1 LEtr. Par ailleurs, le recourant est au bénéfice d'une autorisation de séjour depuis le 9 février 2005, si bien qu'il n'a pas atteint la durée de cinq ans donnant droit a une autorisation d'établissement au sens de l'art. 43 al. 2 LEtr.</w:t>
      </w:r>
    </w:p>
    <w:p>
      <w:r>
        <w:rPr>
          <w:b/>
        </w:rPr>
        <w:t>E. 4</w:t>
      </w:r>
    </w:p>
    <w:p>
      <w:r>
        <w:t>a) Afin d’éviter des cas personnels d’extrême gravité, le règlement du séjour reste, à certaines conditions, inchangé après la dissolution du mariage ou de la communauté familiale, lorsque l’intégration est avancée ou que des raisons personnelles majeures justifient la prolongation du séjour en Suisse.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(cf. Directives sur le domaine des étrangers, ch. 6.15, publiées par l'Office fédéral des migrations (ODM) [ci-après: Directives ODM] version du 13 février 2008, disponibles sur le site internet http://www.bfm.admin.ch/bfm/fr/home/themen/rechtsgrundlagen/weisungen_und_kreisschreiben.html). Ainsi, l'art. 50 al. 1 LEtr prévoit qu'après la dissolution de la famille, le droit du conjoint et des enfants à l'octroi d'une autorisation de séjour et à sa prolongation subsiste lorsque l'union conjugale a duré au moins 3 ans et l'intégration est réussie (let. a) ou lorsque la poursuite du séjour en Suisse s'impose pour des raisons personnelles majeures (let. b). b) Bien que le recourant ait épousé une ressortissante du Kosovo au bénéfice d'un permis d'établissement le 20 novembre 2002, il ressort du dossier que les époux n’ont vécu ensemble que dès l’arrivée du recourant en Suisse, en 2005. Quoi qu’il en soit, l'art. 50 al. 1 let. a LEtr exige une communauté conjugale effectivement vécue en Suisse (Directives ODM, ch. 6.15). Le recourant est arrivé en Suisse au bénéfice d'un permis de séjour le 9 février 2005 et les époux se sont séparés en juillet 2007, si bien que la durée de vie commune de trois ans n'est pas n'est pas atteinte. Il ne peut ainsi se prévaloir de l'art. 50 al. 1 let. a LEtr. c) Reste à examiner si le recourant peut invoquer l'art. 50 al. 1 let. b LEtr, à savoir que la poursuite de son séjour en Suisse s'impose pour des raisons personnelles majeures.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l'on peut se référer à la jurisprudence développée sous l’empire de l’ancien art. 13 let. f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l'on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 réintégration plus facile (PE.2008.0342 du 18 mars 2009PE.2007.0436 du 31 mars 2008;). A l'évidence, aucune raison personnelle majeure n'impose la poursuite du séjour en Suisse du recourant. En effet, bien qu'il soit financièrement autonome et semble s'être bien intégré en Suisse, il convient de retenir qu'il y est entré alors qu'il était âgé de 21 ans et qu'il a ainsi passé toute son enfance, son adolescence et le début de sa vie d'adulte dans son pays d'origine, où il conserve nécessairement des attaches culturelles fortes; de plus, sa mère et toute sa famille, à l'exception d'une sœur établie en Suisse, y habite. Il séjourne en Suisse depuis un peu plus de quatre ans, ce qui ne constitue pas une durée particulièrement longue; il ne peut par ailleurs se prévaloir de qualifications professionnelles particulières. Il n'a d'aucune façon établi ni même allégué que son retour au Kosovo engendrerait de graves conséquences pour lui. Finalement, les différentes pièces au dossier et les actes d'instruction entrepris par le tribunal (jugement de divorce rendu par le Tribunal d'arrondissement de Gjilan du 24 juin 2008, procès-verbal d'audition de l'ex-épouse du recourant des 23 septembre et 28 octobre 2008, procès-verbal d'audition du recourant du 31 octobre 2008, courrier de l'ex-épouse du recourant du 14 mai 2009, action en désaveu déposée le 24 février 2009, notification de naissance de l'enfant) permettent de retenir avec suffisamment de certitude qu'aucun enfant n'est issu de sa relation avec son ex-épouse. Même si sa paternité sur l’enfant de cette dernière devait être retenue, ce qui parait peu vraisemblable à la lumière des pièces précitées, l'absence de toute relation avec l'enfant depuis sa naissance empêcherait de retenir cet élément en faveur du recourant. La recourant ne se trouve ainsi pas dans un cas de détresse personnelle et ne peut par conséquent être mis au bénéfice de l'art. 50 al. 1 let. b LEtr.</w:t>
      </w:r>
    </w:p>
    <w:p>
      <w:r>
        <w:rPr>
          <w:b/>
        </w:rPr>
        <w:t>E. 5</w:t>
      </w:r>
    </w:p>
    <w:p>
      <w:r>
        <w:t>Au vu de ce qui précède, l'autorité intimée n'a pas abusé de son pouvoir d'appréciation en refusant de renouveler l'autorisation de séjour du recourant. Le recours doit donc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