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PE.2009.0146 vom 21. Juli 2009</w:t>
      </w:r>
    </w:p>
    <w:p>
      <w:r>
        <w:t>VD Tribunal cantonal, 2009-07-21, FR</w:t>
      </w:r>
    </w:p>
    <w:p>
      <w:r>
        <w:rPr>
          <w:b/>
        </w:rPr>
        <w:t xml:space="preserve">Quelle: </w:t>
      </w:r>
      <w:r>
        <w:t>https://mcp.opencaselaw.ch/entscheid/vd_omni_PE.2009.0146</w:t>
      </w:r>
    </w:p>
    <w:p>
      <w:r>
        <w:t>FR: VD_OMNI PE.2009.0146 du 21 juillet 2009</w:t>
      </w:r>
    </w:p>
    <w:p>
      <w:r>
        <w:t>IT: VD_OMNI PE.2009.0146 del 21 luglio 2009</w:t>
      </w:r>
    </w:p>
    <w:p>
      <w:pPr>
        <w:pStyle w:val="Heading2"/>
      </w:pPr>
      <w:r>
        <w:t>Regeste</w:t>
      </w:r>
    </w:p>
    <w:p>
      <w:r>
        <w:t>X. c/Service de la population (SPOP) | C'est à tort que la recourante, ressortissante chinoise, soutient que l'union conjugale avec son ex-mari suisse a duré au moins 3 ans. En effet, après quelques mois de vie commune, elle a quitté le domicile conjugal. Les tentatives des conjoints de se rapprocher ont échoué et ils n'ont jamais repris la vie commune. Dans la mesure où aucune raison personnelle majeure ne commande la poursuite du séjour de la recourante en Suisse, c'est à juste titre que l'autorité intimée a révoqué son autorisation de séjour. Recours rejeté.</w:t>
      </w:r>
    </w:p>
    <w:p>
      <w:pPr>
        <w:pStyle w:val="Heading2"/>
      </w:pPr>
      <w:r>
        <w:t>Erwägungen</w:t>
      </w:r>
    </w:p>
    <w:p>
      <w:r>
        <w:rPr>
          <w:b/>
        </w:rPr>
        <w:t>E. 1</w:t>
      </w:r>
    </w:p>
    <w:p>
      <w:r>
        <w:t>a) 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Il en va de même des décisions de révocation rendues avant l'entrée en vigueur du nouveau droit, l'art. 126 al. 1 LEtr étant applicable par analogie (arrêts PE.2007.0352 du 11 février 2008 et PE.2007.0405 du 30 avril 2008; cf. également ATF 2C.625/2007 du 2 avril 2008 consid. 2).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décision de révocation ayant été rendue après l’entrée en vigueur de la LEtr, sa validité matérielle doit être examinée à l’aune du nouveau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L'autorité intimée a révoqué l'autorisation de séjour de la recourante au motif que la vie commune avec son mari avait pris fin en 2004, quelques mois après leur mariage. Pour sa part, la recourante estime que l'autorité intimée a constaté de manière incomplète les faits pertinents en retenant que la vie commune avait pris fin en 2004. Elle soutient que la vie commune a formellement pris fin le 1 er janvier 2008. a) Selon l'art. 42 al. 1 LEtr, le conjoint d'un ressortissant suisse ainsi que ses enfants célibataires de moins de 18 ans ont droit à l'octroi d'une autorisation de séjour et à la prolongation de sa durée de validité à condition de vivre en ménage commun avec lui. b) En l'espèce, l'union conjugale de la recourante a été dissoute par le divorce en novembre 2008. De plus, les époux avaient déjà cessé de faire ménage commun en 2004. Partant, la recourante ne peut prétendre au renouvellement de son autorisation de séjour sur la base de cette disposition.</w:t>
      </w:r>
    </w:p>
    <w:p>
      <w:r>
        <w:rPr>
          <w:b/>
        </w:rPr>
        <w:t>E. 4</w:t>
      </w:r>
    </w:p>
    <w:p>
      <w:r>
        <w:t>a) L'art. 50 al. 1 LEtr prévoit qu'après la dissolution de la famille, le droit du conjoint et des enfants à l'octroi d'une autorisation de séjour et à sa prolongation subsiste lorsque l'union conjugale a duré au moins 3 ans et l'intégration est réussie (let. a) ou lorsque la poursuite du séjour en Suisse s'impose pour des raisons personnelles majeures (let. b). L'union conjugale au sens de l'art. 50 al. 1 let. a LEtr suppose l'existence d'une communauté conjugale effectivement vécue (cf. Directives sur le domaine des étrangers édictées par l'Office fédéral des migrations - ci-après: ODM). b) La recourante a épousé un ressortissant suisse au mois de juillet 2003. Les époux ont vécu ensemble quelques mois dans le canton de Vaud, puis la recourante est rentrée dans son pays d'origine. Elle est revenue en Suisse au mois de juin 2004 et s'est établie en Suisse alémanique où ses bonnes connaissances de l'allemand lui ont permis d'exercer des activités professionnelles. Elle a expliqué avoir quitté le domicile conjugal au motif que la vie commune avec son mari toxicomane était devenue extrêmement difficile. En 2006, les époux ont tenté de se rapprocher et ont loué à cette fin deux studios adjacents à 1********. Ils n'ont cependant jamais repris la vie commune et leur divorce a été prononcé le 8 novembre 2008. C'est donc à juste titre que l'autorité intimée a retenu que la vie commune de la recourante et de son ex-époux n'avait duré que quelques mois. En effet, quand bien même ils ont entretenu une relation, ils n'ont plus jamais fait ménage commun et partant, vécu une communauté conjugale effective. D'ailleurs, la recourante ne conteste pas n'avoir plus fait toit commun avec son époux depuis la fin de l'année 2003. Elle tente au contraire de démontrer le maintien d'une relation conjugale, nonobstant l'absence de vie commune, ce qui ne suffit pas à constituer une union conjugale au sens de l'art. 50 al. 1 let. a LEtr.</w:t>
      </w:r>
    </w:p>
    <w:p>
      <w:r>
        <w:rPr>
          <w:b/>
        </w:rPr>
        <w:t>E. 5</w:t>
      </w:r>
    </w:p>
    <w:p>
      <w:r>
        <w:t>a) Il convient encore d'examiner si la recourante peut invoquer l'art. 50 al. 1 let. b LEtr, à savoir que la poursuite de son séjour en Suisse s'impose pour des raisons personnelles majeures. Selon l’art. 50 al. 2 LEtr, les raisons personnelles majeures sont notamment données lorsque le conjoint est victime de violence conjugale et que la réintégration sociale dans le pays d’origine semble fortement compromise. Cette disposition est précisée par l'art. 31 OASA, dont la teneur est la suivante :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Pour interpréter la notion de « raisons personnelles majeures », l'on peut se référer à la jurisprudence développée sous l’empire de l’ancien art. 13 let. f OLE, en vigueur jusqu’au 31 décembre 2007, qui concernait les autorisations de séjour pouvant être délivrées " dans un cas personnel d'extrême gravité ou en raison de considérations de politique générale".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pas suffisantes. Il faut encore que la relation avec notre pays soit si étroite qu'on ne puisse exiger de l'étranger qu'il aille vivre dans un autre pays, notamment celui d'origine. Parmi les éléments jouant un rôle pour admettre le cas de rigueur, l'on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(arrêts PE.2007.0436 du 31 mars 2008; PE.2008.0342 du 18 mars 2009). b) A l'évidence, aucune raison personnelle majeure n'impose la poursuite du séjour en Suisse de la recourante. En effet, bien qu'elle soit financièrement autonome et semble s'être bien intégrée en Suisse, il convient de retenir qu'elle y est entrée alors qu'elle était âgée de 22 ans, qu'elle y séjourne depuis un peu moins de neuf ans, qu'elle conserve des liens importants avec son pays d'origine où vit sa famille auprès de laquelle elle a d'ailleurs trouvé refuge après avoir quitté le domicile conjugal, qu'aucun enfant n'est issu de sa relation avec son ex-époux, qu'elle ne peut se prévaloir de qualifications professionnelles particulières et qu'elle n'a d'aucune façon établi ni même allégué que son retour en Chine engendrerait de graves conséquences pour elle. Au contraire, elle a seulement relevé qu'un retour en Chine serait problématique, car elle envoie de l'argent à sa famille et que cette dernière pense qu'elle "vit avec un gentil mari". Or, la confrontation d'un étranger à une mauvaise situation économique et sociale ne suffit pas à constituer un cas personnel d'extrême gravité. La recourante ne se trouvant pas dans un cas de détresse personnelle, elle ne peut être mise au bénéfice de l'art. 50 al. 1 let. b LEtr.</w:t>
      </w:r>
    </w:p>
    <w:p>
      <w:r>
        <w:rPr>
          <w:b/>
        </w:rPr>
        <w:t>E. 6</w:t>
      </w:r>
    </w:p>
    <w:p>
      <w:r>
        <w:t>Au vu de ce qui précède, l'autorité intimée n'a pas abusé de son pouvoir d'appréciation en révoquant l'autorisation de séjour de la recourante. Le recours doit donc être rejeté aux frais de la recourante qui n'a pas droit à des dépens (art. 49 et 55 LPA). Suite à une séance de coordination de la Chambre de police des étrangers (art. 21 al. 1 du règlement organique du Tribunal administratif (depuis le 1 er janvier 2008: la Cour de droit administratif du Tribunal cantonal) du 18 avril 1997 - ROTA;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