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PE.2009.0128 vom 17. Februar 2010</w:t>
      </w:r>
    </w:p>
    <w:p>
      <w:r>
        <w:t>VD Tribunal cantonal, 2010-02-17, FR</w:t>
      </w:r>
    </w:p>
    <w:p>
      <w:r>
        <w:rPr>
          <w:b/>
        </w:rPr>
        <w:t xml:space="preserve">Quelle: </w:t>
      </w:r>
      <w:r>
        <w:t>https://mcp.opencaselaw.ch/entscheid/vd_omni_PE.2009.0128</w:t>
      </w:r>
    </w:p>
    <w:p>
      <w:r>
        <w:t>FR: VD_OMNI PE.2009.0128 du 17 février 2010</w:t>
      </w:r>
    </w:p>
    <w:p>
      <w:r>
        <w:t>IT: VD_OMNI PE.2009.0128 del 17 febbraio 2010</w:t>
      </w:r>
    </w:p>
    <w:p>
      <w:pPr>
        <w:pStyle w:val="Heading2"/>
      </w:pPr>
      <w:r>
        <w:t>Regeste</w:t>
      </w:r>
    </w:p>
    <w:p>
      <w:r>
        <w:t>X. c/Service de la population (SPOP) | Confirmation du refus de renouveler l'autorisation de séjour d'un ressortissant chilien qui, moins de trois ans après son mariage avec une Suissesse, vit séparé de celle-ci. De plus, pas de circonstances à prendre en considération au regard du chiffre 654 des directives LSEE de l'ODM.</w:t>
      </w:r>
    </w:p>
    <w:p>
      <w:pPr>
        <w:pStyle w:val="Heading2"/>
      </w:pPr>
      <w:r>
        <w:t>Erwägungen</w:t>
      </w:r>
    </w:p>
    <w:p>
      <w:r>
        <w:rPr>
          <w:b/>
        </w:rPr>
        <w:t>E. 1</w:t>
      </w:r>
    </w:p>
    <w:p>
      <w:r>
        <w:t>Aux termes de l'art. 92 al. 1 de la loi vaudoise du 28 octobre 2008 sur la procédure administrative (LPA;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loi fédérale du 16 décembre 2005 sur les étrangers (LEtr; RS 142.20), entrée en vigueur le 1 er janvier 2008, abroge et remplace l'ancienne loi fédérale du 26 mars 1931 sur le séjour et l’établissement des étrangers (LSEE). Selon l'art. 126 al. 1 LEtr, les demandes déposées avant son entrée en vigueur, le 1 er janvier 2008, sont régies par l’ancien droit. En l'espèce, la procédure concernant le renouvellement de l'autorisation de séjour du recourant ayant été ouverte par le SPOP en 2007, le litige doit être examiné à l'aune de l'ancienne LSEE et de ses dispositions d'application.</w:t>
      </w:r>
    </w:p>
    <w:p>
      <w:r>
        <w:rPr>
          <w:b/>
        </w:rPr>
        <w:t>E. 3</w:t>
      </w:r>
    </w:p>
    <w:p>
      <w:r>
        <w:t>Conformément à l'art. 98 let. a LPA, la CDAP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Selon l’art. 1a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(ATF 126 II 377 consid. 2; 126 II 335 consid. 1 a; 124 II 361 consid. 1 a). b) En vertu de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c) Si les droits conférés par l’art. 7 al. 1 LSEE s’éteignent en cas de mariage fictif, ils prennent également fin si l’étranger invoque un mariage de façon abusive (ATF 127 II 49; 123 II 49 consid. 5 c; 121 II 97 consid. 4;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123 II 49;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121 II 97 précité;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 En l'espèce, l'autorité intimée ne prétend pas que le mariage du recourant aurait été fictif ou de complaisance. Le point déterminant est la question de savoir si cette union ne serait pas définitivement rompue, de sorte qu'il serait abusif de s'en prévaloir. Les époux XY._____________ se sont séparés au début de février 2007, soit un peu moins de trois ans après leur mariage. Même s'ils ont gardé de bonnes relations, ils n’ont pas repris la vie commune et aucun élément objectif du dossier ne permet de penser que tel sera le cas dans un proche avenir. Dans son écriture du 9 avril 2009, le recourant a indiqué qu’à la suite de l’agression dont il a été victime le 14 mars 2009 et qui a entraîné la perte de son oeil droit, sa femme avait décidé de reporter les discussions concernant un éventuel divorce. Avant cet accident, il était donc question de divorce et non de réconciliation. Dans son audition du 25 septembre 2008, l’épouse de l’intéressé a clairement expliqué qu’elle ne voulait plus vivre avec son mari compte tenu de sa toxicomanie. Or, il est établi que le recourant a, à tout le moins, continué à consommer du cannabis. Dans ces conditions, on peut tenir pour acquis que l’épouse du recourant ne souhaitera plus faire vie commune avec son mari, que les liens du mariage ne sont plus que formels et que le recourant ne peut plus les invoquer pour obtenir le maintien de son autorisation de séjour, sous peine de commettre un abus de droit au sens de la jurisprudence précitée.</w:t>
      </w:r>
    </w:p>
    <w:p>
      <w:r>
        <w:rPr>
          <w:b/>
        </w:rPr>
        <w:t>E. 5</w:t>
      </w:r>
    </w:p>
    <w:p>
      <w:r>
        <w:t>a) Pour éviter des situations d’extrême rigueur, l’autorité fédérale admet que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(chiffre 654 des directives LSEE de l’Office fédéral des migrations [ODM]):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séjourne en Suisse au titre du regroupement familial depuis cinq ans et demi. Si cette durée n’est pas insignifiante, elle ne peut pas à elle seule être considérée comme suffisante pour admettre un profond enracinement dans notre pays. Sur le plan des liens personnels du recourant avec la Suisse, on constate que l'ensemble de sa famille vit à l’étranger (sa mère et sa sœur au Chili et son père en Argentine); en effet, s'il ressort de procès-verbaux d'audition de l'intéressé par la Police cantonale dans le cadre d'enquêtes au sujet de compatriotes, que son frère semble séjourner actuellement dans le canton de Vaud, il n’est cependant pas établi qu’il dispose d’un titre de séjour. S'agissant de sa situation professionnelle, il ressort des déclarations du recourant lors de son audition le 9 décembre 2008 par la Police cantonale dans le cadre d'une enquête à son sujet qu'avant même l’accident du 14 mars 2009, son commerce de tatoueur n’était pas rentable et qu’il avait des dettes; il n’a donc pas obtenu en Suisse une situation professionnelle enviable qui serait mise à néant en cas de retour dans son pays d’origine. Il convient en outre de relever que le recourant a eu un comportement répréhensible puisqu'il a été condamné pénalement à quatre reprises. En ce qui concerne son intégration, il ressort du dossier que s’il est intégré, le recourant l’est avant tout avec ses compatriotes, délinquants pour certains d’entre eux, et ses clients, parmi lesquels il a connu son fournisseur de cocaïne; il ne fait dès lors pas état d’une intégration réussie dans le tissu social de son lieu de séjour. Enfin, on observera qu'arrivé en Suisse à l’âge de 25 ans, le recourant a ainsi passé les années importantes que sont l’enfance et l’adolescence, ainsi que le début de sa vie d’adulte, dans son pays d’origine. Il y a donc, outre sa famille, certainement encore des attaches culturelles et sociales importantes. Dès lors, un retour dans son pays d’origine ne saurait lui poser des problèmes insurmontables tant le plan professionnel que sur le plan social. Il résulte clairement des considérations qui précèdent que le renouvellement de l’autorisation de séjour du recourant ne se justifie pas au regard du chiffre 654 des directives LSEE de l'ODM. c) Le recourant fait valoir qu'il est nécessaire qu'il demeure en Suisse du fait qu'il doit être suivi médicalement et subir éventuellement une deuxième opération, et dans le cadre de l'enquête pénale dirigée contre son agresseur. Or il ressort de l'attestation médicale du 17 juillet 2009 du Dr Konstandinis que la seconde opération prévue n’a pas été proposée à ce jour, étant donné l’absence de douleur. En outre, il n’est pas établi que le recourant ne puisse pas suivre son traitement au Chili. Comme le relève l'autorité intimée, ces éléments pourront au demeurant être pris en compte dans le délai de départ qui sera fixé au recourant pour quitter la Suisse. De même, pour ce qui est de sa présence dans le cadre de l’enquête pénale dirigée contre son agresseur, le recourant pourrait être autorisé à venir en Suisse pour les besoins de l’audience qui sera appointée.</w:t>
      </w:r>
    </w:p>
    <w:p>
      <w:r>
        <w:rPr>
          <w:b/>
        </w:rPr>
        <w:t>E. 6</w:t>
      </w:r>
    </w:p>
    <w:p>
      <w:r>
        <w:t>Au vu de ce qui précède, le recours doit être rejeté et la décision attaquée confirmée. Compte tenu de la situation financière du recourant, il n'est pas perçu d'émolument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