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PE.2009.0118 vom 21. Oktober 2010</w:t>
      </w:r>
    </w:p>
    <w:p>
      <w:r>
        <w:t>VD Tribunal cantonal, 2010-10-21, FR</w:t>
      </w:r>
    </w:p>
    <w:p>
      <w:r>
        <w:rPr>
          <w:b/>
        </w:rPr>
        <w:t xml:space="preserve">Quelle: </w:t>
      </w:r>
      <w:r>
        <w:t>https://mcp.opencaselaw.ch/entscheid/vd_omni_PE.2009.0118</w:t>
      </w:r>
    </w:p>
    <w:p>
      <w:r>
        <w:t>FR: VD_OMNI PE.2009.0118 du 21 octobre 2010</w:t>
      </w:r>
    </w:p>
    <w:p>
      <w:r>
        <w:t>IT: VD_OMNI PE.2009.0118 del 21 ottobre 2010</w:t>
      </w:r>
    </w:p>
    <w:p>
      <w:pPr>
        <w:pStyle w:val="Heading2"/>
      </w:pPr>
      <w:r>
        <w:t>Regeste</w:t>
      </w:r>
    </w:p>
    <w:p>
      <w:r>
        <w:t>X.________ c/Service de la population (SPOP) | Confirmation du refus d'octroyer une autorisation de séjour à une ressortissante équatorienne ainsi qu'à son fils. Cas de rigueur non réalisé. Les recourants ont toujours séjourné illégalement en Suisse. Leur intégration est bonne, mais pas à ce point exceptionnelle que l'on ne pourrait raisonnablement exiger un retour dans leur pays. La recourante invoque ses problèmes de santé (hypoliquorrhée sur brèche durale). D'après le dernier rapport médical, elle ne suit toutefois aucun traitement particulier.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nouvelle loi fédérale du 16 décembre 2005 sur les étrangers (LEtr; RS 142.20) est entrée en vigueur le 1 er janvier 2008; elle a remplacé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 remplacé l'ancienne ordonnance fédérale du 6 octobre 1986 limitant le nombre des étrangers (OLE; RO 1986 1791 et les modifications subséquentes). Les dispositions transitoires relatives à la LEtr s'appliquent par analogie à cette ordonnance (entre autres, arrêt PE.2009.0091 du 22 octobre 2009 consid. 2). b) En l'espèce, les recourants ont déposé leur demande d'autorisations de séjour le 6 décembre 2007, soit avant l'entrée en vigueur de la LEtr et de l'OASA. Le SPOP aurait dès lors dû appliquer l'ancien droit. Cela n'a toutefois pas une grande incidence dès lors que le nouveau droit a repris en matière de cas de rigueur les principes développés par l'ancien droit (Message du Conseil fédéral, FF 2002 III 3469, spéc. p. 3542; ég. arrêt PE.2008.0093 du 16 avril 2008).</w:t>
      </w:r>
    </w:p>
    <w:p>
      <w:r>
        <w:rPr>
          <w:b/>
        </w:rPr>
        <w:t>E. 3</w:t>
      </w:r>
    </w:p>
    <w:p>
      <w:r>
        <w:t>Les recourants reprochent à l'autorité intimée d'avoir nié l'existence d'un cas de rigueur. 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b)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et après examen de la jurisprudence rendue en la matière, le Tribunal administratif a considéré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(arrêt PE.2006.0451 du 23 avril 2007 consid. 4 b in fine). c)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arrêt PE.2006.0661 du 27 avril 2007).</w:t>
      </w:r>
    </w:p>
    <w:p>
      <w:r>
        <w:rPr>
          <w:b/>
        </w:rPr>
        <w:t>E. 4</w:t>
      </w:r>
    </w:p>
    <w:p>
      <w:r>
        <w:t>En l'espèce, la recourante vit en Suisse depuis avril 2000 et son fils depuis juillet 2007 après un premier séjour de février 2003 à juillet 2005. Toutefois, ils y ont toujours séjourné de manière illégale. La durée de leur séjour en Suisse ne peut dès lors pas être prise en compte, comme on l'a rappelé ci-dessus. Il convient par conséquent d'examiner si d'autres éléments pourraient rendre le retour des recourants dans leur pays d'origine particulièrement ardu. Les recourants invoquent leur intégration marquée. A cet égard, on relève que la recourante maîtrise la langue française, qu'elle a toujours travaillé depuis son arrivée en Suisse, qu'elle s'est investie dans plusieurs associations en qualité de bénévole et que son comportement, hormis sa situation de clandestine, n'a donné lieu à aucune plainte. Son intégration peut ainsi être qualifiée de bonne. Elle n'est toutefois pas à ce point exceptionnelle que l'on ne pourrait raisonnablement exiger de la recourante un retour dans son pays. La recourante n'exerce en effet pas une activité professionnelle nécessitant des qualifications particulièrement élevées et, hormis une soeur, n'a pas d'attaches familiales en Suisse. Un retour dans son pays, où elle a vécu jusqu'à l'âge de 27 ans, ne saurait dès lors représenter pour elle un véritable déracinement. Ce constat vaut également pour son fils, qui a terminé sa scolarité obligatoire et qui pourrait dès lors apprendre un métier dans son pays, dont il maîtrise la langue. Il est certes probable que les recourants se trouveront, de retour au pays, dans une situation économique sensiblement inférieure à ce qu'elle est ici; rien ne permet cependant de penser que cette situation serait sans commune mesure avec celle que connaissent leurs compatriotes. La recourante invoque encore ses problèmes de santé. Elle souffre d'une "hypoliquorrhée sur brèche durale". Selon le dernier rapport médical produit (daté du 10 octobre 2009), elle ne suit toutefois aucun traitement particulier; il n'est pas prévu de procéder à d'autres examens complémentaires ou de réintroduire un nouveau traitement dans l'immédiat. Il n'apparaît dès lors pas nécessaire de poursuivre l'instruction sur la question de la qualité du suivi que la recourante obtiendrait au besoin dans les services hospitaliers équatoriens. Pour ces motifs, il n'a pas été donné suite aux requêtes d'expertise des recourants à ce sujet. Ces éléments permettent d'exclure que la situation des recourants constitue un cas personnel d'extrême gravité.</w:t>
      </w:r>
    </w:p>
    <w:p>
      <w:r>
        <w:rPr>
          <w:b/>
        </w:rPr>
        <w:t>E. 5</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