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PE.2009.0112 vom 30. November 2009</w:t>
      </w:r>
    </w:p>
    <w:p>
      <w:r>
        <w:t>VD Tribunal cantonal, 2009-11-30, FR</w:t>
      </w:r>
    </w:p>
    <w:p>
      <w:r>
        <w:rPr>
          <w:b/>
        </w:rPr>
        <w:t xml:space="preserve">Quelle: </w:t>
      </w:r>
      <w:r>
        <w:t>https://mcp.opencaselaw.ch/entscheid/vd_omni_PE.2009.0112</w:t>
      </w:r>
    </w:p>
    <w:p>
      <w:r>
        <w:t>FR: VD_OMNI PE.2009.0112 du 30 novembre 2009</w:t>
      </w:r>
    </w:p>
    <w:p>
      <w:r>
        <w:t>IT: VD_OMNI PE.2009.0112 del 30 novembre 2009</w:t>
      </w:r>
    </w:p>
    <w:p>
      <w:pPr>
        <w:pStyle w:val="Heading2"/>
      </w:pPr>
      <w:r>
        <w:t>Regeste</w:t>
      </w:r>
    </w:p>
    <w:p>
      <w:r>
        <w:t>A.X.________ c/Service de la population (SPOP) | Refus d'une autorisation de séjour sous quelque forme que ce soit à un ressortissant algérien qui a eu une fille avec une Française au bénéfice d'un permis d'établissement. Le père ne peut pas se prévaloir d'un lien effectif et étroit avec sa fille de 3 ans (au moment de la décision), qu'il voit quelques heures par mois au Point Rencontre, avec laquelle, hormis de courtes périodes, il n'a pas vécu. Le recourant n'a en outre notamment pas satisfait à ses obligations d'entretien. Au surplus, pas de cas de rigueur (pas d'intégration sociale et professionnelle, famille à l'étranger). Recours rejeté.</w:t>
      </w:r>
    </w:p>
    <w:p>
      <w:pPr>
        <w:pStyle w:val="Heading2"/>
      </w:pPr>
      <w:r>
        <w:t>Erwägungen</w:t>
      </w:r>
    </w:p>
    <w:p>
      <w:r>
        <w:rPr>
          <w:b/>
        </w:rPr>
        <w:t>E. 1</w:t>
      </w:r>
    </w:p>
    <w:p>
      <w:r>
        <w:t>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l’ordonnance du 24 octobre 2007 relative à l’admission, au séjour et à l’exercice d’une activité lucrative. c) En l’espèce, la procédure concernant l’octroi de l’autorisation de séjour a été ouverte par le Service de la population en 2007, soit avant l’entrée en vigueur de la nouvelle loi fédérale sur les étrangers (LEtr) le 1 er janvier 2008. En conséquence, le recours doit être examiné selon les anciennes dispositions de la loi fédérale sur le séjour et l’établissement des étrangers du 26 mars 1931 (LSEE) et de l’ordonnance limitant le nombre des étrangers du 6 octobre 1986 (OLE).</w:t>
      </w:r>
    </w:p>
    <w:p>
      <w:r>
        <w:rPr>
          <w:b/>
        </w:rPr>
        <w:t>E. 2</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3</w:t>
      </w:r>
    </w:p>
    <w:p>
      <w:r>
        <w:t>Un étranger peut, selon les circonstances, se prévaloir du droit au respect de sa vie privée et familiale garanti par l'art.</w:t>
      </w:r>
    </w:p>
    <w:p>
      <w:r>
        <w:rPr>
          <w:b/>
        </w:rPr>
        <w:t>E. 8</w:t>
      </w:r>
    </w:p>
    <w:p>
      <w:r>
        <w:t>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L'art. 8 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119 Ib 81 consid. 1c p. 84; 118 Ib 153 consid. 1c p. 157 et les références). Le droit au respect de la vie familiale garanti par l'art. 8 par. 1 CEDH n'est toutefois pas absolu; en effet, une ingérence dans l'exercice de ce droit est possible, selon l'art. 8 par.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Ces buts étant légitimes au regard de l'art. 8 al.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(ATF 125 II 633 consid. 3 p. 639; 120 Ib 22).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RO 1986 p. 1791]). Ces buts sont légitimes au regard de l'art. 8 par. 2 CEDH ( ATF 120 Ib 1 consid. 3b p. 4/5 et 22 consid. 4a p. 24/25). Seuls des liens familiaux forts dans les domaines affectif et économique sont propres à faire passer ces objectifs au second plan ( ATF 120 Ib 1 consid. 3c p. 5). S'agissant de l'intérêt privé à obtenir une autorisation de séjour, le Tribunal fédéral a précisé que le parent domicilié à l'étranger, qui disposait d'un droit de visite sur son enfant bénéficiant du droit de résider en Suisse, pouvait en principe exercer ce droit même s'il vivait à l'étranger, au besoin en aménageant les modalités de ce droit quant à sa fréquence et à sa durée. Un droit plus étendu pouvait exister lorsqu'il existait des liens familiaux particulièrement forts dans les domaines affectif et économique, que, en raison de la distance qui séparait le pays de résidence de l'enfant du pays d'origine de son parent, cette relation ne pourrait pratiquement pas être maintenue et que le parent qui entendait se prévaloir de cette garantie avait fait preuve en Suisse d'un comportement irréprochable. C'est à ces conditions seulement que l'intérêt privé du parent désirant obtenir une autorisation de séjour pouvait prévaloir, le cas échéant, sur l'intérêt public à une politique restrictive en matière de séjour des étrangers et d'immigration (ATF 2A.299/2006 du 2 août 2006 consid. 3.1 al. 2 et les arrêts cités). Par ailleurs, lorsque l'autorité n'entend pas expulser l'étranger, mais veut simplement lui refuser l'octroi ou la prolongation d'une autorisation de séjour, cet élément doit également entrer dans la pesée des intérêts, s'agissant d'une atteinte moins grave à la garantie de la vie familiale. En effet, dans ce cas, l'intéressé ne peut plus résider durablement en Suisse, alors que, s'il est expulsé, il doit non seulement quitter la Suisse, mais encore ne plus y pénétrer (art. 11 al. 4 LSEE; ATF 120 Ib 6 consid. 4a p. 13). 4. En l’espèce, le recourant ne vit pas avec sa fille et, au vu des relations tendues entre les parents, aucune vie commune n’a été possible hormis pour de courtes périodes. Elle n’est envisagée par aucun des parents pour l’avenir. Il n’a pas vu sa fille pendant de longues périodes, dès lors que la mère de l’enfant a refusé qu’il exerce son droit de visite. Il a dû saisir le Juge pour qu’elle accepte à nouveau d’amener l’enfant au Point Rencontre. Il ne s’agit pas ici de savoir si l’un ou l’autre des parents est responsable de cette situation, mais d’apprécier si les liens entre le recourant et sa fille sont suffisamment forts pour qu’une autorisation de séjour lui soit octroyée. On considérera ainsi que le recourant voulait exercer son droit de visite deux fois par mois, au Point Rencontre, et qu’il a été empêché de le faire. Quoiqu’il en soit, on ne saurait admettre qu’il existe un lien étroit entre un père et sa fille s’il est basé uniquement sur un droit de visite de trois heures, deux fois par mois, d’autant plus que l’enfant est très jeune et même s'il avait été exercé régulièrement. Le recourant perd de vue que l’exercice d’un droit de visite à un Point Rencontre, qui plus est sans possibilité d’emmener l’enfant à l’extérieur, ne constitue pas un droit de visite usuel et que ce mode de procéder est réservé aux situations conflictuelles où il y a crainte pour l’intérêt de l’enfant. Cela ne signifie pas pour autant que le recourant n’a pas des sentiments forts pour sa fille, mais on ne saurait retenir que les liens entre eux sont suffisamment étroits pour que son intérêt privé l’emporte sur l’intérêt public à ne pas lui octroyer d’autorisation de séjour, compte tenu de l’ensemble des circonstances du cas. Le recourant ne s’est pas acquitté spontanément des contributions d’entretien d’un montant mensuel modeste de 250 fr., et il accuse un important arriéré. Il n’existe ainsi pas de lien économique fort entre eux. Certes, il n’a jamais émargé à l’assistance publique et a travaillé illégalement dans une mesure qui n’est pas définie et ses gains ont vraisemblablement été faibles. Mais il n’en demeure pas moins qu’il n’a pas rempli ses obligations d’entretien. De plus, la distance entre l’Algérie et la Suisse n’est pas telle qu’elle empêcherait qu’une relation perdure entre le père et sa fille. Enfin, son comportement n’a pas été irréprochable. Il est en effet arrivé en Suisse sous une fausse identité, en mentant sur son âge et prétendant ainsi être mineur. Il a caché ces faits par la suite. Il s’est soustrait à la décision de renvoi prononcée à son encontre et a été condamné pour être resté en Suisse à une peine privative globale de liberté de trente jours. Il a commis de menus larcins en 2003. Dans ces circonstances, le recourant ne saurait se prévaloir de l’art. 8 CEDH pour obtenir une autorisation de séjour. Enfin, rien n’indique que le recourant se trouverait dans un cas de rigueur au sens de l’article 13 let. f OLE qui justifierait l’octroi d’une autorisation de séjour.  Rappelons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 s. et la jurisprudence citée).  Le recourant, qui n’est pas intégré socialement et professionnellement en Suisse, dont la famille hormis sa fille ne réside pas en Suisse et qui a passé la majeure partie de sa vie en Algérie où il a encore des attaches, ne constitue à l’évidence pas un cas de rigueur. 5. Les considérants qui précèdent conduisent au rejet du recours aux frais du recourant qui succombe et qui, vu l’issue de son pourvoi, n’a pas droit à l’allocation de dépens.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