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PE.2009.0090 vom 27. Oktober 2009</w:t>
      </w:r>
    </w:p>
    <w:p>
      <w:r>
        <w:t>VD Tribunal cantonal, 2009-10-27, FR</w:t>
      </w:r>
    </w:p>
    <w:p>
      <w:r>
        <w:rPr>
          <w:b/>
        </w:rPr>
        <w:t xml:space="preserve">Quelle: </w:t>
      </w:r>
      <w:r>
        <w:t>https://mcp.opencaselaw.ch/entscheid/vd_omni_PE.2009.0090</w:t>
      </w:r>
    </w:p>
    <w:p>
      <w:r>
        <w:t>FR: VD_OMNI PE.2009.0090 du 27 octobre 2009</w:t>
      </w:r>
    </w:p>
    <w:p>
      <w:r>
        <w:t>IT: VD_OMNI PE.2009.0090 del 27 ottobre 2009</w:t>
      </w:r>
    </w:p>
    <w:p>
      <w:pPr>
        <w:pStyle w:val="Heading2"/>
      </w:pPr>
      <w:r>
        <w:t>Regeste</w:t>
      </w:r>
    </w:p>
    <w:p>
      <w:r>
        <w:t>X. c/Service de la population (SPOP) | Lorsque la question du refus d'une autorisation de séjour a définitivement été tranchée, la décision de renvoi qui fait suite à celle-ci (art. 66 LEtr) peut être qualifiée de décision d'exécution. Il appartient alors à l'autorité cantonale qui statue sur un tel renvoi, d'examiner si le renvoi est possible, licite ou raisonnable (art. 83 LEtr).</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 disposition transitoire de l'art. 126 al. 2 LEtr, la procédure est régie par le nouveau droit. Selon la jurisprudence, la procédure de renvoi est soumise au nouveau droit (art. 66 LEtr) lorsqu'elle est déclenchée après le 1 er janvier 2008 (ATAF C-2918/2008 du 1 er juillet 2008 rappelant que la LEtr ne prévoit plus, à partir du 1er janvier 2008, ni la possibilité de prononcer un renvoi cantonal, ni la faculté pour l'Office fédéral des migrations de transformer l'ordre de quitter un canton en ordre de quitter la Suisse). Tel est le cas en l'espèce.</w:t>
      </w:r>
    </w:p>
    <w:p>
      <w:r>
        <w:rPr>
          <w:b/>
        </w:rPr>
        <w:t>E. 2</w:t>
      </w:r>
    </w:p>
    <w:p>
      <w:r>
        <w:t>L'exécution n'est pas possible lorsque l'étranger ne peut pas quitter la Suisse pour son Etat d'origine, son Etat de provenance ou un Etat tiers, ni être renvoyé dans un de ces Etats.</w:t>
      </w:r>
    </w:p>
    <w:p>
      <w:r>
        <w:rPr>
          <w:b/>
        </w:rPr>
        <w:t>E. 3</w:t>
      </w:r>
    </w:p>
    <w:p>
      <w:r>
        <w:t>L'exécution n'est pas licite lorsque le renvoi de l'étranger dans son Etat d'origine, dans son Etat de provenance ou dans un Etat tiers est contraire aux engagements de la Suisse relevant du droit international.</w:t>
      </w:r>
    </w:p>
    <w:p>
      <w:r>
        <w:rPr>
          <w:b/>
        </w:rPr>
        <w:t>E. 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w:t>
      </w:r>
    </w:p>
    <w:p>
      <w:r>
        <w:rPr>
          <w:b/>
        </w:rPr>
        <w:t>E. 6</w:t>
      </w:r>
    </w:p>
    <w:p>
      <w:r>
        <w:t>L'admission provisoire peut être proposée par les autorités cantonales. (…)" Cet article est dans sa substance identique à l'art. 14a aLSEE en vigueur jusqu'au 31 décembre 2007. Il a été confirmé que la jurisprudence rendue sous l'empire de ce dernier demeurait toujours valable (Tribunal administratif fédéral [TAF] C-476/2006 du 27 janvier 2009 consid. 8.2.1, E-7314/2006 du 10 mars 2008 consid. 7.1). 3. a) En l'espèce, l'autorité intimée n'a pas pris position dans la décision attaquée sur l'existence éventuelle d'une situation justifiant une admission provisoire. Elle a toutefois complété sa motivation au regard de l'art. 83 LEtr dans ses déterminations du 13 août 2009, postérieures au refus de l'ODM d'entrer en matière sur la demande de reconsidération du recourant. Ce dernier a disposé de la faculté de requérir d'éventuelles mesures tendant à compléter l'instruction, sans toutefois y donner suite. Il convient partant d'admettre que l'autorité a complété sa motivation dans le cadre de la procédure de recours. b) A cela s'ajoute que le recourant s'est limité à contester l'absence de prise de position sur sa demande de reconsidération du 23 janvier 2009. Dans ce courrier, il invoque la durée de son séjour en Suisse (1), le fait qu'il assume un emploi et n'a jamais été dépendant de l'aide sociale (2), que, depuis son arrivée en Suisse, il a toujours eu un comportement adéquat (3) et qu'on ne saurait envisager un retour dans son pays d'origine, la Bosnie-Herzégovine, en proie à des soubresauts politiques et qui, étant peuplée dans son immense majorité par des musulmans, ne saurait être une terre d'accueil pour une personne de religion catholique (4). Ces arguments ont été examinés et définitivement rejetés par l'ODM, puis par le TAF (voir arrêt C-380/2006 du 21 novembre 2006), de sorte qu'en l'absence d'éléments nouveaux, l'ODM a refusé d'entrer en matière sur la demande de réexamen du 23 janvier 2009. Le recourant n'a pas contesté ce refus. c) Sous l'angle de l'art. 83 LEtr, la seule question litigieuse est celle d'un éventuel renvoi impossible, illicite ou qui ne peut être raisonnablement exigé. Le recourant s'oppose à son renvoi en raison du fait que la Bosnie-Herzégovine est peuplée principalement de musulmans, alors que le recourant est catholique. Il convient de rappeler que le recourant possède la nationalité croate, pays où la très grande majorité de la population est de même confession que lui. Dans son arrêt du 21 novembre 2008, le TAF a d'ailleurs considéré que le recourant semble avoir privilégié sa nationalité croate, de sorte qu'il se doit d'assumer les conséquences d'un retour dans ce pays. Il n'est dès lors pas question d'un renvoi en Bosnie-Herzégovine. Par ailleurs, la situation politique en Croatie est qualifiée de stable par le Département fédéral des affaires étrangères (DFAE; informations disponibles à http://www.eda.admin.ch/eda/fr/home/reps/eur/vhrv/rhcro.html ). Quant à d'éventuelles difficultés lors de son retour, le TAF a reconnu qu'il était probable qu'un retour en Croatie nécessiterait du recourant un effort d'adaptation supérieur à la moyenne. Le TAF a toutefois considéré qu'on pouvait encore raisonnablement l'exiger de la part d'un homme célibataire âgé de 37 ans et en bonne santé, sans que cela ne soit constitutif d'une situation d'extrême rigueur, la Croatie n'étant pas étrangère au recourant. En effet, du temps de la Yougoslavie, il a vécu dans une zone frontalière à la partie croate, et, à l'heure actuelle, il s'y rend régulièrement pour voir ses parents, qui y ont trouvé refuge suite à la guerre des balkans. Dès lors, il peut encore compter sur certaines attaches familiales avec ce pays, même si la plupart de ses frères et sœurs sont désormais établis en Suisse (ATAF précité, consid. 9). Dans le cadre du présent recours, aucun élément nouveau n'est invoqué à cet égard, de sorte que l'appréciation précitée peut être confirmée au stade de la décision de renvoi. Au vu de ce qui précède, il apparaît que l'exécution du renvoi en Croatie est possible, licite et raisonnablement exigible au sens de l'art. 83 LEtr (dans le même sens, voir PE.2009.0336 du 19 août 2009; PE.2009.0092 du 20 mai 2009, PE.2009.0058 du 7 août 2009). En conclusion, le Tribunal cantonal retient, dans la mesure de ses compétences, qu'il n'y a pas lieu de proposer à l'ODM l'admission provisoire de l'intéressé et que, partant, la décision de renvoi doit être confirmée. 4. Vu l'issue du pourvoi, l'émolument de justice sera mis à la charge du recourant (art. 49 LPA-VD)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